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B8299B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ADITIVA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N° ......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2018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AO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</w:t>
      </w:r>
      <w:r w:rsidR="00356908">
        <w:rPr>
          <w:rFonts w:ascii="Arial" w:eastAsia="Arial" w:hAnsi="Arial" w:cs="Arial"/>
          <w:b/>
          <w:sz w:val="24"/>
          <w:szCs w:val="24"/>
          <w:u w:val="single"/>
        </w:rPr>
        <w:t>21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EF240A" w:rsidRPr="00B8299B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B8299B" w:rsidRDefault="00EF240A" w:rsidP="0035690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Default="00EF240A" w:rsidP="0035690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Acrescenta o § </w:t>
      </w:r>
      <w:r w:rsidR="00356908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º ao </w:t>
      </w:r>
      <w:r w:rsidR="00356908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rt. </w:t>
      </w:r>
      <w:r w:rsidR="00356908">
        <w:rPr>
          <w:rFonts w:ascii="Arial" w:eastAsia="Arial" w:hAnsi="Arial" w:cs="Arial"/>
          <w:sz w:val="24"/>
          <w:szCs w:val="24"/>
        </w:rPr>
        <w:t>13 do Substitutivo ao Projeto de Lei 021/2018,</w:t>
      </w:r>
      <w:r>
        <w:rPr>
          <w:rFonts w:ascii="Arial" w:eastAsia="Arial" w:hAnsi="Arial" w:cs="Arial"/>
          <w:sz w:val="24"/>
          <w:szCs w:val="24"/>
        </w:rPr>
        <w:t xml:space="preserve"> com a seguinte redação</w:t>
      </w:r>
      <w:r w:rsidR="00356908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F240A" w:rsidRDefault="00EF240A" w:rsidP="00356908">
      <w:pPr>
        <w:suppressAutoHyphens/>
        <w:spacing w:after="0" w:line="240" w:lineRule="auto"/>
        <w:jc w:val="both"/>
      </w:pPr>
    </w:p>
    <w:p w:rsidR="00EF240A" w:rsidRPr="009C757E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9C757E">
        <w:rPr>
          <w:rFonts w:ascii="Arial" w:hAnsi="Arial" w:cs="Arial"/>
          <w:b/>
          <w:sz w:val="24"/>
          <w:szCs w:val="24"/>
        </w:rPr>
        <w:t xml:space="preserve">§ </w:t>
      </w:r>
      <w:r w:rsidR="00356908">
        <w:rPr>
          <w:rFonts w:ascii="Arial" w:hAnsi="Arial" w:cs="Arial"/>
          <w:b/>
          <w:sz w:val="24"/>
          <w:szCs w:val="24"/>
        </w:rPr>
        <w:t>4</w:t>
      </w:r>
      <w:r w:rsidRPr="009C757E">
        <w:rPr>
          <w:rFonts w:ascii="Arial" w:hAnsi="Arial" w:cs="Arial"/>
          <w:b/>
          <w:sz w:val="24"/>
          <w:szCs w:val="24"/>
        </w:rPr>
        <w:t>º</w:t>
      </w:r>
      <w:r w:rsidR="00356908">
        <w:rPr>
          <w:rFonts w:ascii="Arial" w:hAnsi="Arial" w:cs="Arial"/>
          <w:sz w:val="24"/>
          <w:szCs w:val="24"/>
        </w:rPr>
        <w:t xml:space="preserve"> Somente poderão ser incluídos na frota da empresa registrada os veículos de sua propriedade ou os veículos que comprovadamente estiverem sob sua posse</w:t>
      </w:r>
      <w:r w:rsidR="00AB7B62">
        <w:rPr>
          <w:rFonts w:ascii="Arial" w:hAnsi="Arial" w:cs="Arial"/>
          <w:sz w:val="24"/>
          <w:szCs w:val="24"/>
        </w:rPr>
        <w:t>’</w:t>
      </w:r>
      <w:r w:rsidR="00356908">
        <w:rPr>
          <w:rFonts w:ascii="Arial" w:hAnsi="Arial" w:cs="Arial"/>
          <w:sz w:val="24"/>
          <w:szCs w:val="24"/>
        </w:rPr>
        <w:t>, salvo no caso de veículos cooperado</w:t>
      </w:r>
      <w:r w:rsidR="00FC73BD">
        <w:rPr>
          <w:rFonts w:ascii="Arial" w:hAnsi="Arial" w:cs="Arial"/>
          <w:sz w:val="24"/>
          <w:szCs w:val="24"/>
        </w:rPr>
        <w:t>s, os quais dever</w:t>
      </w:r>
      <w:r w:rsidR="001C5A27">
        <w:rPr>
          <w:rFonts w:ascii="Arial" w:hAnsi="Arial" w:cs="Arial"/>
          <w:sz w:val="24"/>
          <w:szCs w:val="24"/>
        </w:rPr>
        <w:t>ão</w:t>
      </w:r>
      <w:r w:rsidR="00FC73BD">
        <w:rPr>
          <w:rFonts w:ascii="Arial" w:hAnsi="Arial" w:cs="Arial"/>
          <w:sz w:val="24"/>
          <w:szCs w:val="24"/>
        </w:rPr>
        <w:t xml:space="preserve"> apresentar prova de vínculo junto a cooperativa registrada.</w:t>
      </w:r>
      <w:bookmarkEnd w:id="0"/>
      <w:r w:rsidR="00FC73BD">
        <w:rPr>
          <w:rFonts w:ascii="Arial" w:hAnsi="Arial" w:cs="Arial"/>
          <w:sz w:val="24"/>
          <w:szCs w:val="24"/>
        </w:rPr>
        <w:tab/>
      </w:r>
    </w:p>
    <w:p w:rsidR="00EF240A" w:rsidRPr="009C757E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240A" w:rsidRPr="00CC1B8E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F240A" w:rsidRPr="00CC1B8E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D10A01">
        <w:rPr>
          <w:rFonts w:ascii="Arial" w:eastAsia="Arial" w:hAnsi="Arial" w:cs="Arial"/>
          <w:sz w:val="24"/>
          <w:szCs w:val="24"/>
        </w:rPr>
        <w:t xml:space="preserve"> –</w:t>
      </w:r>
      <w:r w:rsidRPr="00B8299B">
        <w:rPr>
          <w:rFonts w:ascii="Arial" w:eastAsia="Arial" w:hAnsi="Arial" w:cs="Arial"/>
          <w:sz w:val="24"/>
          <w:szCs w:val="24"/>
        </w:rPr>
        <w:t xml:space="preserve"> ES</w:t>
      </w:r>
      <w:r w:rsidR="00D10A01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DA3795">
        <w:rPr>
          <w:rFonts w:ascii="Arial" w:eastAsia="Arial" w:hAnsi="Arial" w:cs="Arial"/>
          <w:sz w:val="24"/>
          <w:szCs w:val="24"/>
        </w:rPr>
        <w:t>18</w:t>
      </w:r>
      <w:r w:rsidR="00D10A01">
        <w:rPr>
          <w:rFonts w:ascii="Arial" w:eastAsia="Arial" w:hAnsi="Arial" w:cs="Arial"/>
          <w:sz w:val="24"/>
          <w:szCs w:val="24"/>
        </w:rPr>
        <w:t xml:space="preserve"> de </w:t>
      </w:r>
      <w:r w:rsidR="00DA3795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D10A01">
        <w:rPr>
          <w:rFonts w:ascii="Arial" w:eastAsia="Arial" w:hAnsi="Arial" w:cs="Arial"/>
          <w:sz w:val="24"/>
          <w:szCs w:val="24"/>
        </w:rPr>
        <w:t>9.</w:t>
      </w:r>
    </w:p>
    <w:p w:rsidR="00EF240A" w:rsidRPr="00B8299B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40A" w:rsidRPr="00B8299B" w:rsidRDefault="00EF240A" w:rsidP="00356908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F240A" w:rsidRDefault="00D10A01" w:rsidP="0035690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F240A" w:rsidRDefault="00D10A01" w:rsidP="0035690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EF240A" w:rsidRDefault="00EF240A" w:rsidP="00EF240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CB5" w:rsidRDefault="00BD4CB5" w:rsidP="007F57FE">
      <w:pPr>
        <w:spacing w:after="0" w:line="240" w:lineRule="auto"/>
      </w:pPr>
      <w:r>
        <w:separator/>
      </w:r>
    </w:p>
  </w:endnote>
  <w:endnote w:type="continuationSeparator" w:id="0">
    <w:p w:rsidR="00BD4CB5" w:rsidRDefault="00BD4CB5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CB5" w:rsidRDefault="00BD4CB5" w:rsidP="007F57FE">
      <w:pPr>
        <w:spacing w:after="0" w:line="240" w:lineRule="auto"/>
      </w:pPr>
      <w:r>
        <w:separator/>
      </w:r>
    </w:p>
  </w:footnote>
  <w:footnote w:type="continuationSeparator" w:id="0">
    <w:p w:rsidR="00BD4CB5" w:rsidRDefault="00BD4CB5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A2700"/>
    <w:rsid w:val="000B59B9"/>
    <w:rsid w:val="000C3F68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51AAC"/>
    <w:rsid w:val="002759EA"/>
    <w:rsid w:val="002B2EF0"/>
    <w:rsid w:val="00356908"/>
    <w:rsid w:val="00365AF1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B15A7"/>
    <w:rsid w:val="006C1E5F"/>
    <w:rsid w:val="006F2A6C"/>
    <w:rsid w:val="007015C8"/>
    <w:rsid w:val="00745A81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B7B62"/>
    <w:rsid w:val="00AC35D4"/>
    <w:rsid w:val="00AC6832"/>
    <w:rsid w:val="00AF069E"/>
    <w:rsid w:val="00B71575"/>
    <w:rsid w:val="00B8299B"/>
    <w:rsid w:val="00BB334C"/>
    <w:rsid w:val="00BC2F5D"/>
    <w:rsid w:val="00BD4CB5"/>
    <w:rsid w:val="00BE099E"/>
    <w:rsid w:val="00C20E6C"/>
    <w:rsid w:val="00C4182B"/>
    <w:rsid w:val="00C41C2E"/>
    <w:rsid w:val="00C71DBD"/>
    <w:rsid w:val="00C73903"/>
    <w:rsid w:val="00CC1B8E"/>
    <w:rsid w:val="00D10A01"/>
    <w:rsid w:val="00D27FB8"/>
    <w:rsid w:val="00D45D45"/>
    <w:rsid w:val="00D7085E"/>
    <w:rsid w:val="00D91039"/>
    <w:rsid w:val="00DA3795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F240A"/>
    <w:rsid w:val="00F1202C"/>
    <w:rsid w:val="00F20997"/>
    <w:rsid w:val="00F311D5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966B7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02FD-7462-4688-B32F-9E4DDF6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9</cp:revision>
  <cp:lastPrinted>2019-06-18T20:14:00Z</cp:lastPrinted>
  <dcterms:created xsi:type="dcterms:W3CDTF">2019-05-24T18:32:00Z</dcterms:created>
  <dcterms:modified xsi:type="dcterms:W3CDTF">2019-06-18T20:14:00Z</dcterms:modified>
</cp:coreProperties>
</file>