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EEF" w:rsidRPr="008E65B1" w:rsidRDefault="00133EEF" w:rsidP="00133EEF">
      <w:pPr>
        <w:pStyle w:val="Default"/>
        <w:spacing w:line="360" w:lineRule="auto"/>
        <w:jc w:val="center"/>
        <w:rPr>
          <w:rFonts w:ascii="Tahoma" w:hAnsi="Tahoma" w:cs="Tahoma"/>
          <w:b/>
        </w:rPr>
      </w:pPr>
      <w:r w:rsidRPr="008E65B1">
        <w:rPr>
          <w:rFonts w:ascii="Tahoma" w:hAnsi="Tahoma" w:cs="Tahoma"/>
          <w:b/>
        </w:rPr>
        <w:t>SUBSTITUTIVO AO PROJETO DE LEI N°. 014/2018</w:t>
      </w:r>
    </w:p>
    <w:p w:rsidR="00133EEF" w:rsidRPr="008E65B1" w:rsidRDefault="00133EEF" w:rsidP="00133EEF">
      <w:pPr>
        <w:pStyle w:val="Default"/>
        <w:spacing w:line="360" w:lineRule="auto"/>
        <w:jc w:val="both"/>
        <w:rPr>
          <w:rFonts w:ascii="Tahoma" w:hAnsi="Tahoma" w:cs="Tahoma"/>
        </w:rPr>
      </w:pPr>
    </w:p>
    <w:p w:rsidR="00133EEF" w:rsidRPr="008E65B1" w:rsidRDefault="00133EEF" w:rsidP="00133EEF">
      <w:pPr>
        <w:pStyle w:val="Default"/>
        <w:spacing w:line="360" w:lineRule="auto"/>
        <w:ind w:left="2268"/>
        <w:jc w:val="both"/>
        <w:rPr>
          <w:rFonts w:ascii="Tahoma" w:hAnsi="Tahoma" w:cs="Tahoma"/>
          <w:b/>
        </w:rPr>
      </w:pPr>
      <w:r w:rsidRPr="008E65B1">
        <w:rPr>
          <w:rFonts w:ascii="Tahoma" w:hAnsi="Tahoma" w:cs="Tahoma"/>
          <w:b/>
        </w:rPr>
        <w:t>DISPÕE SOBRE A ADOÇÃO DE MEDIDAS DE PROTEÇÃO CONTRA A VIOLÊNCIA OBSTÉTRICA E DE DIVULGAÇÃO DE BOAS PRÁTICAS PARA A ATENÇÃO À GRAVIDEZ, PARTO, NASCIMENTO, ABORTAMENTO E PUERPÉRIO NO MUNICÍPIO DE ARACRUZ/ES.</w:t>
      </w:r>
    </w:p>
    <w:p w:rsidR="00133EEF" w:rsidRPr="008E65B1" w:rsidRDefault="00133EEF" w:rsidP="00133EEF">
      <w:pPr>
        <w:pStyle w:val="Default"/>
        <w:spacing w:line="360" w:lineRule="auto"/>
        <w:ind w:left="2268"/>
        <w:jc w:val="both"/>
        <w:rPr>
          <w:rFonts w:ascii="Tahoma" w:hAnsi="Tahoma" w:cs="Tahoma"/>
          <w:b/>
        </w:rPr>
      </w:pPr>
    </w:p>
    <w:p w:rsidR="00133EEF" w:rsidRPr="008E65B1" w:rsidRDefault="00133EEF" w:rsidP="00133EEF">
      <w:pPr>
        <w:pStyle w:val="Default"/>
        <w:spacing w:line="360" w:lineRule="auto"/>
        <w:ind w:left="2268"/>
        <w:jc w:val="both"/>
        <w:rPr>
          <w:rFonts w:ascii="Tahoma" w:hAnsi="Tahoma" w:cs="Tahoma"/>
          <w:b/>
        </w:rPr>
      </w:pPr>
      <w:r w:rsidRPr="008E65B1">
        <w:rPr>
          <w:rFonts w:ascii="Tahoma" w:hAnsi="Tahoma" w:cs="Tahoma"/>
          <w:b/>
        </w:rPr>
        <w:t>A CÂMARA MUNICIPAL DE ARACRUZ, ESTADO DO ESPÍRITO SANTO, APROVOU E O PREFEITO SANCIONA A SEGUINTE LEI:</w:t>
      </w:r>
    </w:p>
    <w:p w:rsidR="00133EEF" w:rsidRPr="008E65B1" w:rsidRDefault="00133EEF" w:rsidP="00133EEF">
      <w:pPr>
        <w:pStyle w:val="Default"/>
        <w:spacing w:line="360" w:lineRule="auto"/>
        <w:jc w:val="both"/>
        <w:rPr>
          <w:rFonts w:ascii="Tahoma" w:hAnsi="Tahoma" w:cs="Tahoma"/>
        </w:rPr>
      </w:pP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Art. 1º. A presente Lei tem por objeto a adoção de medidas de proteção contra a violência obstétrica em prol da gestante e parturiente e divulgação de boas práticas para a atenção à gravidez, parto, nascimento, abortamento e puerpério.</w:t>
      </w:r>
    </w:p>
    <w:p w:rsidR="00133EEF" w:rsidRPr="008E65B1" w:rsidRDefault="00133EEF" w:rsidP="00133EEF">
      <w:pPr>
        <w:pStyle w:val="Default"/>
        <w:spacing w:line="360" w:lineRule="auto"/>
        <w:jc w:val="both"/>
        <w:rPr>
          <w:rFonts w:ascii="Tahoma" w:hAnsi="Tahoma" w:cs="Tahoma"/>
        </w:rPr>
      </w:pP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Art. 2º. A atenção à gravidez, parto, abortamento e puerpério adotará os princípios de boas práticas com enfoque na humanização, de acordo com as normas regulamentadoras.</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Parágrafo único. É obrigatória a elaboração do plano de parto.</w:t>
      </w:r>
    </w:p>
    <w:p w:rsidR="00133EEF" w:rsidRPr="008E65B1" w:rsidRDefault="00133EEF" w:rsidP="00133EEF">
      <w:pPr>
        <w:pStyle w:val="Default"/>
        <w:spacing w:line="360" w:lineRule="auto"/>
        <w:jc w:val="both"/>
        <w:rPr>
          <w:rFonts w:ascii="Tahoma" w:hAnsi="Tahoma" w:cs="Tahoma"/>
        </w:rPr>
      </w:pP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Art. 3º. Considera-se violência obstétrica todo ato praticado por membro da equipe de profissionais da saúde, do hospital ou por terceiros, em desacordo com as normas regulamentadoras ou que ofenda verbal ou fisicamente as mulheres gestantes, parturientes ou puérperas.</w:t>
      </w:r>
    </w:p>
    <w:p w:rsidR="00133EEF" w:rsidRPr="008E65B1" w:rsidRDefault="00133EEF" w:rsidP="00133EEF">
      <w:pPr>
        <w:pStyle w:val="Default"/>
        <w:spacing w:line="360" w:lineRule="auto"/>
        <w:jc w:val="both"/>
        <w:rPr>
          <w:rFonts w:ascii="Tahoma" w:hAnsi="Tahoma" w:cs="Tahoma"/>
        </w:rPr>
      </w:pP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Art. 4º. Para efeitos da presente Lei considerar-se-á ofensa verbal ou física, dentre outras, as seguintes condutas:</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lastRenderedPageBreak/>
        <w:t>I – tratar a gestante ou parturiente de forma agressiva, não empática, grosseira, zombeteira, ou de qualquer outra forma que a faça se sentir ofendida pelo tratamento recebido;</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II – ironizar ou recriminar a parturiente por qualquer comportamento como gritar, chorar, ter medo, vergonha ou dúvidas;</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III – ironizar ou recriminar a mulher por qualquer característica ou ato físico, como, por exemplo, obesidade, pelos, estrias e evacuação;</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IV – não responder a queixas e dúvidas da mulher gestante, parturiente ou puérpera;</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V – tratar a mulher de forma inferior, dando-lhe comandos e nomes infantilizados e diminutivos, tratando-a como</w:t>
      </w:r>
      <w:r w:rsidR="004E1F58" w:rsidRPr="008E65B1">
        <w:rPr>
          <w:rFonts w:ascii="Tahoma" w:hAnsi="Tahoma" w:cs="Tahoma"/>
        </w:rPr>
        <w:t xml:space="preserve"> </w:t>
      </w:r>
      <w:r w:rsidRPr="008E65B1">
        <w:rPr>
          <w:rFonts w:ascii="Tahoma" w:hAnsi="Tahoma" w:cs="Tahoma"/>
        </w:rPr>
        <w:t>incapaz;</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VI – induzir a gestante ou parturiente a optar pelo parto cirúrgico na ausência de indicação</w:t>
      </w:r>
      <w:r w:rsidR="004E1F58" w:rsidRPr="008E65B1">
        <w:rPr>
          <w:rFonts w:ascii="Tahoma" w:hAnsi="Tahoma" w:cs="Tahoma"/>
        </w:rPr>
        <w:t xml:space="preserve"> </w:t>
      </w:r>
      <w:r w:rsidRPr="008E65B1">
        <w:rPr>
          <w:rFonts w:ascii="Tahoma" w:hAnsi="Tahoma" w:cs="Tahoma"/>
        </w:rPr>
        <w:t>baseada em evidências</w:t>
      </w:r>
      <w:r w:rsidR="004E1F58" w:rsidRPr="008E65B1">
        <w:rPr>
          <w:rFonts w:ascii="Tahoma" w:hAnsi="Tahoma" w:cs="Tahoma"/>
        </w:rPr>
        <w:t xml:space="preserve"> médicas</w:t>
      </w:r>
      <w:r w:rsidRPr="008E65B1">
        <w:rPr>
          <w:rFonts w:ascii="Tahoma" w:hAnsi="Tahoma" w:cs="Tahoma"/>
        </w:rPr>
        <w:t xml:space="preserve"> e sem o devido esclarecimento quanto a</w:t>
      </w:r>
      <w:r w:rsidR="004E1F58" w:rsidRPr="008E65B1">
        <w:rPr>
          <w:rFonts w:ascii="Tahoma" w:hAnsi="Tahoma" w:cs="Tahoma"/>
        </w:rPr>
        <w:t>os</w:t>
      </w:r>
      <w:r w:rsidRPr="008E65B1">
        <w:rPr>
          <w:rFonts w:ascii="Tahoma" w:hAnsi="Tahoma" w:cs="Tahoma"/>
        </w:rPr>
        <w:t xml:space="preserve"> riscos para a mãe e a criança;</w:t>
      </w:r>
    </w:p>
    <w:p w:rsidR="00F725F9" w:rsidRPr="008E65B1" w:rsidRDefault="00133EEF" w:rsidP="00133EEF">
      <w:pPr>
        <w:pStyle w:val="Default"/>
        <w:spacing w:line="360" w:lineRule="auto"/>
        <w:jc w:val="both"/>
        <w:rPr>
          <w:rFonts w:ascii="Tahoma" w:hAnsi="Tahoma" w:cs="Tahoma"/>
        </w:rPr>
      </w:pPr>
      <w:r w:rsidRPr="008E65B1">
        <w:rPr>
          <w:rFonts w:ascii="Tahoma" w:hAnsi="Tahoma" w:cs="Tahoma"/>
        </w:rPr>
        <w:t>VII – recusar atendimento ao parto</w:t>
      </w:r>
      <w:r w:rsidR="004E1F58" w:rsidRPr="008E65B1">
        <w:rPr>
          <w:rFonts w:ascii="Tahoma" w:hAnsi="Tahoma" w:cs="Tahoma"/>
        </w:rPr>
        <w:t>, contrariando o disposto na Lei Federal n°. 11.634/2007</w:t>
      </w:r>
      <w:r w:rsidRPr="008E65B1">
        <w:rPr>
          <w:rFonts w:ascii="Tahoma" w:hAnsi="Tahoma" w:cs="Tahoma"/>
        </w:rPr>
        <w:t>;</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VIII – promover a transferência da gestante ou parturiente sem confirmação prévia da existência de vaga e garantia de atendimento ou de tempo suficiente para que esta chegue ao local em segurança;</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IX – impedir que a mulher seja acompanhada por alguém de sua preferência durante o trabalho de parto, parto, abortamento e pós-parto</w:t>
      </w:r>
      <w:r w:rsidR="004E1F58" w:rsidRPr="008E65B1">
        <w:rPr>
          <w:rFonts w:ascii="Tahoma" w:hAnsi="Tahoma" w:cs="Tahoma"/>
        </w:rPr>
        <w:t>, contrariando o disposto na Lei Federal n°. 11.108/2005</w:t>
      </w:r>
      <w:r w:rsidRPr="008E65B1">
        <w:rPr>
          <w:rFonts w:ascii="Tahoma" w:hAnsi="Tahoma" w:cs="Tahoma"/>
        </w:rPr>
        <w:t>;</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X – impedir a mulher de se comunicar pessoalmente ou por meio de telefone</w:t>
      </w:r>
      <w:r w:rsidR="004E1F58" w:rsidRPr="008E65B1">
        <w:rPr>
          <w:rFonts w:ascii="Tahoma" w:hAnsi="Tahoma" w:cs="Tahoma"/>
        </w:rPr>
        <w:t>, a menos que haja justificativa de cunho médico para o bem da saúde da mulher e criança</w:t>
      </w:r>
      <w:r w:rsidRPr="008E65B1">
        <w:rPr>
          <w:rFonts w:ascii="Tahoma" w:hAnsi="Tahoma" w:cs="Tahoma"/>
        </w:rPr>
        <w:t>;</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XI – submeter a mulher a procedimentos dolorosos, desnecessários ou humilhantes em desacordo com as normas regulamentadoras</w:t>
      </w:r>
      <w:r w:rsidR="004E1F58" w:rsidRPr="008E65B1">
        <w:rPr>
          <w:rFonts w:ascii="Tahoma" w:hAnsi="Tahoma" w:cs="Tahoma"/>
        </w:rPr>
        <w:t>, como, por exemplo, lavagem intestinal, raspagem de pelos pubianos, posição ginecológica com portas abertas, exame de toque por mais de um profissional</w:t>
      </w:r>
      <w:r w:rsidRPr="008E65B1">
        <w:rPr>
          <w:rFonts w:ascii="Tahoma" w:hAnsi="Tahoma" w:cs="Tahoma"/>
        </w:rPr>
        <w:t>;</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XII – deixar de aplicar anestesia na parturiente</w:t>
      </w:r>
      <w:r w:rsidR="007E315A" w:rsidRPr="008E65B1">
        <w:rPr>
          <w:rFonts w:ascii="Tahoma" w:hAnsi="Tahoma" w:cs="Tahoma"/>
        </w:rPr>
        <w:t>, em desacordo com as normas regulamentadoras</w:t>
      </w:r>
      <w:r w:rsidRPr="008E65B1">
        <w:rPr>
          <w:rFonts w:ascii="Tahoma" w:hAnsi="Tahoma" w:cs="Tahoma"/>
        </w:rPr>
        <w:t>;</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lastRenderedPageBreak/>
        <w:t>XIII – realizar a episiotomia indiscriminadamente, em desacordo com as normas regulamentadoras;</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XIV – manter algemadas as detentas em trabalho de parto;</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XV –</w:t>
      </w:r>
      <w:r w:rsidR="007E315A" w:rsidRPr="008E65B1">
        <w:rPr>
          <w:rFonts w:ascii="Tahoma" w:hAnsi="Tahoma" w:cs="Tahoma"/>
        </w:rPr>
        <w:t xml:space="preserve"> </w:t>
      </w:r>
      <w:r w:rsidRPr="008E65B1">
        <w:rPr>
          <w:rFonts w:ascii="Tahoma" w:hAnsi="Tahoma" w:cs="Tahoma"/>
        </w:rPr>
        <w:t>realizar qualquer procedimento sem</w:t>
      </w:r>
      <w:r w:rsidR="007E315A" w:rsidRPr="008E65B1">
        <w:rPr>
          <w:rFonts w:ascii="Tahoma" w:hAnsi="Tahoma" w:cs="Tahoma"/>
        </w:rPr>
        <w:t>, previamente,</w:t>
      </w:r>
      <w:r w:rsidRPr="008E65B1">
        <w:rPr>
          <w:rFonts w:ascii="Tahoma" w:hAnsi="Tahoma" w:cs="Tahoma"/>
        </w:rPr>
        <w:t xml:space="preserve"> pedir permissão ou esclarecer, de modo acessível, a sua necessidade;</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 xml:space="preserve">XVI – </w:t>
      </w:r>
      <w:r w:rsidR="007E315A" w:rsidRPr="008E65B1">
        <w:rPr>
          <w:rFonts w:ascii="Tahoma" w:hAnsi="Tahoma" w:cs="Tahoma"/>
        </w:rPr>
        <w:t xml:space="preserve">após o trabalho de parto, </w:t>
      </w:r>
      <w:r w:rsidRPr="008E65B1">
        <w:rPr>
          <w:rFonts w:ascii="Tahoma" w:hAnsi="Tahoma" w:cs="Tahoma"/>
        </w:rPr>
        <w:t>demorar injustificadamente para alojar a puérpera em seu leito;</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XVII – su</w:t>
      </w:r>
      <w:r w:rsidR="007E315A" w:rsidRPr="008E65B1">
        <w:rPr>
          <w:rFonts w:ascii="Tahoma" w:hAnsi="Tahoma" w:cs="Tahoma"/>
        </w:rPr>
        <w:t xml:space="preserve">bmeter a mulher </w:t>
      </w:r>
      <w:r w:rsidRPr="008E65B1">
        <w:rPr>
          <w:rFonts w:ascii="Tahoma" w:hAnsi="Tahoma" w:cs="Tahoma"/>
        </w:rPr>
        <w:t xml:space="preserve">ou </w:t>
      </w:r>
      <w:r w:rsidR="007E315A" w:rsidRPr="008E65B1">
        <w:rPr>
          <w:rFonts w:ascii="Tahoma" w:hAnsi="Tahoma" w:cs="Tahoma"/>
        </w:rPr>
        <w:t xml:space="preserve">o </w:t>
      </w:r>
      <w:r w:rsidRPr="008E65B1">
        <w:rPr>
          <w:rFonts w:ascii="Tahoma" w:hAnsi="Tahoma" w:cs="Tahoma"/>
        </w:rPr>
        <w:t>recém-nascido a procedimentos com o fim exclusivo de treinar estudantes;</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XVIII – submeter o recém-nascido saudável a procedimentos de rotina antes de colocá-lo em contato pele a pele com a mãe e de permitir o aleitamento;</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XIX – impedir o alojamento conjunto e a amamentação por livre demanda, salvo em situações clinicamente justificadas;</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XX – não informar a mulher e o casal sobre o direito a métodos e técnicas anticonceptivos reversíveis ou não</w:t>
      </w:r>
      <w:r w:rsidR="007E315A" w:rsidRPr="008E65B1">
        <w:rPr>
          <w:rFonts w:ascii="Tahoma" w:hAnsi="Tahoma" w:cs="Tahoma"/>
        </w:rPr>
        <w:t xml:space="preserve">, conforme </w:t>
      </w:r>
      <w:r w:rsidR="0010452A" w:rsidRPr="008E65B1">
        <w:rPr>
          <w:rFonts w:ascii="Tahoma" w:hAnsi="Tahoma" w:cs="Tahoma"/>
        </w:rPr>
        <w:t>regulamentação prevista na</w:t>
      </w:r>
      <w:r w:rsidR="007E315A" w:rsidRPr="008E65B1">
        <w:rPr>
          <w:rFonts w:ascii="Tahoma" w:hAnsi="Tahoma" w:cs="Tahoma"/>
        </w:rPr>
        <w:t xml:space="preserve"> Lei Federal n°. 9.263/1996</w:t>
      </w:r>
      <w:r w:rsidRPr="008E65B1">
        <w:rPr>
          <w:rFonts w:ascii="Tahoma" w:hAnsi="Tahoma" w:cs="Tahoma"/>
        </w:rPr>
        <w:t>;</w:t>
      </w:r>
    </w:p>
    <w:p w:rsidR="0010452A" w:rsidRPr="008E65B1" w:rsidRDefault="0010452A" w:rsidP="00133EEF">
      <w:pPr>
        <w:pStyle w:val="Default"/>
        <w:spacing w:line="360" w:lineRule="auto"/>
        <w:jc w:val="both"/>
        <w:rPr>
          <w:rFonts w:ascii="Tahoma" w:hAnsi="Tahoma" w:cs="Tahoma"/>
        </w:rPr>
      </w:pP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 xml:space="preserve">Art. 5º. Os estabelecimentos de saúde deverão expor cartazes informativos </w:t>
      </w:r>
      <w:r w:rsidR="0010452A" w:rsidRPr="008E65B1">
        <w:rPr>
          <w:rFonts w:ascii="Tahoma" w:hAnsi="Tahoma" w:cs="Tahoma"/>
        </w:rPr>
        <w:t xml:space="preserve">contra a violência obstétrica </w:t>
      </w:r>
      <w:r w:rsidR="000B76E3">
        <w:rPr>
          <w:rFonts w:ascii="Tahoma" w:hAnsi="Tahoma" w:cs="Tahoma"/>
        </w:rPr>
        <w:t>informando as</w:t>
      </w:r>
      <w:r w:rsidRPr="008E65B1">
        <w:rPr>
          <w:rFonts w:ascii="Tahoma" w:hAnsi="Tahoma" w:cs="Tahoma"/>
        </w:rPr>
        <w:t xml:space="preserve"> condutas e</w:t>
      </w:r>
      <w:bookmarkStart w:id="0" w:name="_GoBack"/>
      <w:bookmarkEnd w:id="0"/>
      <w:r w:rsidRPr="008E65B1">
        <w:rPr>
          <w:rFonts w:ascii="Tahoma" w:hAnsi="Tahoma" w:cs="Tahoma"/>
        </w:rPr>
        <w:t>lencadas nos incisos I a XX do art. 4º desta Lei.</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 1º. Equiparam-se aos estabelecimentos de saúde, para os efeitos desta Lei, os postos, centros e unidades básicas de saúde, casas de parto, maternidades, hospitais e consultórios médicos especializados no atendimento à saúde da mulher</w:t>
      </w:r>
      <w:r w:rsidR="008E65B1" w:rsidRPr="008E65B1">
        <w:rPr>
          <w:rFonts w:ascii="Tahoma" w:hAnsi="Tahoma" w:cs="Tahoma"/>
        </w:rPr>
        <w:t>, públicos ou privados</w:t>
      </w:r>
      <w:r w:rsidRPr="008E65B1">
        <w:rPr>
          <w:rFonts w:ascii="Tahoma" w:hAnsi="Tahoma" w:cs="Tahoma"/>
        </w:rPr>
        <w:t>.</w:t>
      </w: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 2º. Os cartazes devem informar, ainda, os órgãos e trâmites para encaminhar denúncias de violência obstétrica.</w:t>
      </w:r>
    </w:p>
    <w:p w:rsidR="0010452A" w:rsidRPr="008E65B1" w:rsidRDefault="0010452A" w:rsidP="00133EEF">
      <w:pPr>
        <w:pStyle w:val="Default"/>
        <w:spacing w:line="360" w:lineRule="auto"/>
        <w:jc w:val="both"/>
        <w:rPr>
          <w:rFonts w:ascii="Tahoma" w:hAnsi="Tahoma" w:cs="Tahoma"/>
        </w:rPr>
      </w:pPr>
    </w:p>
    <w:p w:rsidR="00133EEF" w:rsidRPr="008E65B1" w:rsidRDefault="00133EEF" w:rsidP="00133EEF">
      <w:pPr>
        <w:pStyle w:val="Default"/>
        <w:spacing w:line="360" w:lineRule="auto"/>
        <w:jc w:val="both"/>
        <w:rPr>
          <w:rFonts w:ascii="Tahoma" w:hAnsi="Tahoma" w:cs="Tahoma"/>
        </w:rPr>
      </w:pPr>
      <w:r w:rsidRPr="008E65B1">
        <w:rPr>
          <w:rFonts w:ascii="Tahoma" w:hAnsi="Tahoma" w:cs="Tahoma"/>
        </w:rPr>
        <w:t xml:space="preserve">Art. 6º. O descumprimento </w:t>
      </w:r>
      <w:r w:rsidR="0010452A" w:rsidRPr="008E65B1">
        <w:rPr>
          <w:rFonts w:ascii="Tahoma" w:hAnsi="Tahoma" w:cs="Tahoma"/>
        </w:rPr>
        <w:t xml:space="preserve">dos termos </w:t>
      </w:r>
      <w:r w:rsidRPr="008E65B1">
        <w:rPr>
          <w:rFonts w:ascii="Tahoma" w:hAnsi="Tahoma" w:cs="Tahoma"/>
        </w:rPr>
        <w:t>des</w:t>
      </w:r>
      <w:r w:rsidR="0010452A" w:rsidRPr="008E65B1">
        <w:rPr>
          <w:rFonts w:ascii="Tahoma" w:hAnsi="Tahoma" w:cs="Tahoma"/>
        </w:rPr>
        <w:t>t</w:t>
      </w:r>
      <w:r w:rsidRPr="008E65B1">
        <w:rPr>
          <w:rFonts w:ascii="Tahoma" w:hAnsi="Tahoma" w:cs="Tahoma"/>
        </w:rPr>
        <w:t xml:space="preserve">a </w:t>
      </w:r>
      <w:r w:rsidR="0010452A" w:rsidRPr="008E65B1">
        <w:rPr>
          <w:rFonts w:ascii="Tahoma" w:hAnsi="Tahoma" w:cs="Tahoma"/>
        </w:rPr>
        <w:t>L</w:t>
      </w:r>
      <w:r w:rsidRPr="008E65B1">
        <w:rPr>
          <w:rFonts w:ascii="Tahoma" w:hAnsi="Tahoma" w:cs="Tahoma"/>
        </w:rPr>
        <w:t>ei sujeitará os infratores às penas previstas na</w:t>
      </w:r>
      <w:r w:rsidR="0010452A" w:rsidRPr="008E65B1">
        <w:rPr>
          <w:rFonts w:ascii="Tahoma" w:hAnsi="Tahoma" w:cs="Tahoma"/>
        </w:rPr>
        <w:t>s</w:t>
      </w:r>
      <w:r w:rsidRPr="008E65B1">
        <w:rPr>
          <w:rFonts w:ascii="Tahoma" w:hAnsi="Tahoma" w:cs="Tahoma"/>
        </w:rPr>
        <w:t xml:space="preserve"> legislaç</w:t>
      </w:r>
      <w:r w:rsidR="0010452A" w:rsidRPr="008E65B1">
        <w:rPr>
          <w:rFonts w:ascii="Tahoma" w:hAnsi="Tahoma" w:cs="Tahoma"/>
        </w:rPr>
        <w:t>ões</w:t>
      </w:r>
      <w:r w:rsidRPr="008E65B1">
        <w:rPr>
          <w:rFonts w:ascii="Tahoma" w:hAnsi="Tahoma" w:cs="Tahoma"/>
        </w:rPr>
        <w:t xml:space="preserve"> sanitária, penal e civil.</w:t>
      </w:r>
    </w:p>
    <w:p w:rsidR="0010452A" w:rsidRPr="008E65B1" w:rsidRDefault="0010452A" w:rsidP="00133EEF">
      <w:pPr>
        <w:pStyle w:val="Default"/>
        <w:spacing w:line="360" w:lineRule="auto"/>
        <w:jc w:val="both"/>
        <w:rPr>
          <w:rFonts w:ascii="Tahoma" w:hAnsi="Tahoma" w:cs="Tahoma"/>
        </w:rPr>
      </w:pPr>
    </w:p>
    <w:p w:rsidR="0010452A" w:rsidRPr="008E65B1" w:rsidRDefault="00133EEF" w:rsidP="00133EEF">
      <w:pPr>
        <w:pStyle w:val="Default"/>
        <w:spacing w:line="360" w:lineRule="auto"/>
        <w:jc w:val="both"/>
        <w:rPr>
          <w:rFonts w:ascii="Tahoma" w:hAnsi="Tahoma" w:cs="Tahoma"/>
        </w:rPr>
      </w:pPr>
      <w:r w:rsidRPr="008E65B1">
        <w:rPr>
          <w:rFonts w:ascii="Tahoma" w:hAnsi="Tahoma" w:cs="Tahoma"/>
        </w:rPr>
        <w:lastRenderedPageBreak/>
        <w:t xml:space="preserve">Art. 7º. </w:t>
      </w:r>
      <w:r w:rsidR="0010452A" w:rsidRPr="008E65B1">
        <w:rPr>
          <w:rFonts w:ascii="Tahoma" w:hAnsi="Tahoma" w:cs="Tahoma"/>
        </w:rPr>
        <w:t>O Poder Executivo Municipal regulamentará, no que couber, a aplicação desta Lei no prazo de 90 (noventa) dias.</w:t>
      </w:r>
    </w:p>
    <w:p w:rsidR="0010452A" w:rsidRPr="008E65B1" w:rsidRDefault="0010452A" w:rsidP="00133EEF">
      <w:pPr>
        <w:pStyle w:val="Default"/>
        <w:spacing w:line="360" w:lineRule="auto"/>
        <w:jc w:val="both"/>
        <w:rPr>
          <w:rFonts w:ascii="Tahoma" w:hAnsi="Tahoma" w:cs="Tahoma"/>
        </w:rPr>
      </w:pPr>
    </w:p>
    <w:p w:rsidR="00133EEF" w:rsidRPr="008E65B1" w:rsidRDefault="0010452A" w:rsidP="00133EEF">
      <w:pPr>
        <w:pStyle w:val="Default"/>
        <w:spacing w:line="360" w:lineRule="auto"/>
        <w:jc w:val="both"/>
        <w:rPr>
          <w:rFonts w:ascii="Tahoma" w:hAnsi="Tahoma" w:cs="Tahoma"/>
        </w:rPr>
      </w:pPr>
      <w:r w:rsidRPr="008E65B1">
        <w:rPr>
          <w:rFonts w:ascii="Tahoma" w:hAnsi="Tahoma" w:cs="Tahoma"/>
        </w:rPr>
        <w:t xml:space="preserve">Art. 8º. </w:t>
      </w:r>
      <w:r w:rsidR="00133EEF" w:rsidRPr="008E65B1">
        <w:rPr>
          <w:rFonts w:ascii="Tahoma" w:hAnsi="Tahoma" w:cs="Tahoma"/>
        </w:rPr>
        <w:t xml:space="preserve">Esta Lei entra em vigor </w:t>
      </w:r>
      <w:r w:rsidRPr="008E65B1">
        <w:rPr>
          <w:rFonts w:ascii="Tahoma" w:hAnsi="Tahoma" w:cs="Tahoma"/>
        </w:rPr>
        <w:t>90 (noventa) dias após sua</w:t>
      </w:r>
      <w:r w:rsidR="00133EEF" w:rsidRPr="008E65B1">
        <w:rPr>
          <w:rFonts w:ascii="Tahoma" w:hAnsi="Tahoma" w:cs="Tahoma"/>
        </w:rPr>
        <w:t xml:space="preserve"> data de sua publi</w:t>
      </w:r>
      <w:r w:rsidRPr="008E65B1">
        <w:rPr>
          <w:rFonts w:ascii="Tahoma" w:hAnsi="Tahoma" w:cs="Tahoma"/>
        </w:rPr>
        <w:t>cação.</w:t>
      </w:r>
    </w:p>
    <w:p w:rsidR="00133EEF" w:rsidRPr="008E65B1" w:rsidRDefault="00133EEF" w:rsidP="00133EEF">
      <w:pPr>
        <w:pStyle w:val="Default"/>
        <w:spacing w:line="360" w:lineRule="auto"/>
        <w:jc w:val="both"/>
        <w:rPr>
          <w:rFonts w:ascii="Tahoma" w:hAnsi="Tahoma" w:cs="Tahoma"/>
        </w:rPr>
      </w:pPr>
    </w:p>
    <w:p w:rsidR="0010452A" w:rsidRPr="008E65B1" w:rsidRDefault="0010452A" w:rsidP="0010452A">
      <w:pPr>
        <w:pStyle w:val="Default"/>
        <w:spacing w:line="360" w:lineRule="auto"/>
        <w:jc w:val="center"/>
        <w:rPr>
          <w:rFonts w:ascii="Tahoma" w:hAnsi="Tahoma" w:cs="Tahoma"/>
        </w:rPr>
      </w:pPr>
      <w:r w:rsidRPr="008E65B1">
        <w:rPr>
          <w:rFonts w:ascii="Tahoma" w:hAnsi="Tahoma" w:cs="Tahoma"/>
        </w:rPr>
        <w:t>Aracruz/ES, 24 de janeiro de 2019.</w:t>
      </w:r>
    </w:p>
    <w:p w:rsidR="0010452A" w:rsidRPr="008E65B1" w:rsidRDefault="0010452A" w:rsidP="0010452A">
      <w:pPr>
        <w:pStyle w:val="Default"/>
        <w:spacing w:line="360" w:lineRule="auto"/>
        <w:jc w:val="center"/>
        <w:rPr>
          <w:rFonts w:ascii="Tahoma" w:hAnsi="Tahoma" w:cs="Tahoma"/>
        </w:rPr>
      </w:pPr>
    </w:p>
    <w:p w:rsidR="0010452A" w:rsidRPr="008E65B1" w:rsidRDefault="0010452A" w:rsidP="00133EEF">
      <w:pPr>
        <w:pStyle w:val="Default"/>
        <w:spacing w:line="360" w:lineRule="auto"/>
        <w:jc w:val="both"/>
        <w:rPr>
          <w:rFonts w:ascii="Tahoma" w:hAnsi="Tahoma" w:cs="Tahom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8"/>
      </w:tblGrid>
      <w:tr w:rsidR="0010452A" w:rsidRPr="008E65B1" w:rsidTr="008E65B1">
        <w:tc>
          <w:tcPr>
            <w:tcW w:w="4748" w:type="dxa"/>
          </w:tcPr>
          <w:p w:rsidR="0010452A" w:rsidRPr="008E65B1" w:rsidRDefault="0010452A" w:rsidP="0010452A">
            <w:pPr>
              <w:pStyle w:val="Default"/>
              <w:tabs>
                <w:tab w:val="center" w:pos="4252"/>
                <w:tab w:val="left" w:pos="7702"/>
              </w:tabs>
              <w:spacing w:line="360" w:lineRule="auto"/>
              <w:jc w:val="center"/>
              <w:rPr>
                <w:rFonts w:ascii="Tahoma" w:hAnsi="Tahoma" w:cs="Tahoma"/>
                <w:b/>
              </w:rPr>
            </w:pPr>
            <w:r w:rsidRPr="008E65B1">
              <w:rPr>
                <w:rFonts w:ascii="Tahoma" w:hAnsi="Tahoma" w:cs="Tahoma"/>
                <w:b/>
              </w:rPr>
              <w:t>DILEUZA MARINS DEL CARO</w:t>
            </w:r>
          </w:p>
          <w:p w:rsidR="0010452A" w:rsidRPr="008E65B1" w:rsidRDefault="0010452A" w:rsidP="0010452A">
            <w:pPr>
              <w:pStyle w:val="Default"/>
              <w:tabs>
                <w:tab w:val="center" w:pos="4252"/>
                <w:tab w:val="left" w:pos="7702"/>
              </w:tabs>
              <w:spacing w:line="360" w:lineRule="auto"/>
              <w:jc w:val="center"/>
              <w:rPr>
                <w:rFonts w:ascii="Tahoma" w:hAnsi="Tahoma" w:cs="Tahoma"/>
              </w:rPr>
            </w:pPr>
            <w:r w:rsidRPr="008E65B1">
              <w:rPr>
                <w:rFonts w:ascii="Tahoma" w:hAnsi="Tahoma" w:cs="Tahoma"/>
                <w:b/>
              </w:rPr>
              <w:t>Vereadora (PSB)</w:t>
            </w:r>
          </w:p>
        </w:tc>
        <w:tc>
          <w:tcPr>
            <w:tcW w:w="4748" w:type="dxa"/>
          </w:tcPr>
          <w:p w:rsidR="0010452A" w:rsidRPr="008E65B1" w:rsidRDefault="0010452A" w:rsidP="0010452A">
            <w:pPr>
              <w:pStyle w:val="Default"/>
              <w:tabs>
                <w:tab w:val="center" w:pos="4252"/>
                <w:tab w:val="left" w:pos="7702"/>
              </w:tabs>
              <w:spacing w:line="360" w:lineRule="auto"/>
              <w:jc w:val="center"/>
              <w:rPr>
                <w:rFonts w:ascii="Tahoma" w:hAnsi="Tahoma" w:cs="Tahoma"/>
                <w:b/>
              </w:rPr>
            </w:pPr>
            <w:r w:rsidRPr="008E65B1">
              <w:rPr>
                <w:rFonts w:ascii="Tahoma" w:hAnsi="Tahoma" w:cs="Tahoma"/>
                <w:b/>
              </w:rPr>
              <w:t>MONICA DE SOUZA PONTES CORDEIRO</w:t>
            </w:r>
          </w:p>
          <w:p w:rsidR="0010452A" w:rsidRPr="008E65B1" w:rsidRDefault="0010452A" w:rsidP="0010452A">
            <w:pPr>
              <w:pStyle w:val="Default"/>
              <w:tabs>
                <w:tab w:val="center" w:pos="4252"/>
                <w:tab w:val="left" w:pos="7702"/>
              </w:tabs>
              <w:spacing w:line="360" w:lineRule="auto"/>
              <w:jc w:val="center"/>
              <w:rPr>
                <w:rFonts w:ascii="Tahoma" w:hAnsi="Tahoma" w:cs="Tahoma"/>
              </w:rPr>
            </w:pPr>
            <w:r w:rsidRPr="008E65B1">
              <w:rPr>
                <w:rFonts w:ascii="Tahoma" w:hAnsi="Tahoma" w:cs="Tahoma"/>
                <w:b/>
              </w:rPr>
              <w:t>Vereadora (PDT)</w:t>
            </w:r>
          </w:p>
        </w:tc>
      </w:tr>
    </w:tbl>
    <w:p w:rsidR="0010452A" w:rsidRPr="008E65B1" w:rsidRDefault="0010452A" w:rsidP="00133EEF">
      <w:pPr>
        <w:pStyle w:val="Default"/>
        <w:spacing w:line="360" w:lineRule="auto"/>
        <w:jc w:val="both"/>
        <w:rPr>
          <w:rFonts w:ascii="Tahoma" w:hAnsi="Tahoma" w:cs="Tahoma"/>
        </w:rPr>
      </w:pPr>
    </w:p>
    <w:p w:rsidR="00EC1C7C" w:rsidRPr="008E65B1" w:rsidRDefault="00EC1C7C" w:rsidP="00133EEF">
      <w:pPr>
        <w:spacing w:after="0" w:line="360" w:lineRule="auto"/>
        <w:jc w:val="both"/>
        <w:rPr>
          <w:rFonts w:ascii="Tahoma" w:hAnsi="Tahoma" w:cs="Tahoma"/>
          <w:sz w:val="24"/>
          <w:szCs w:val="24"/>
        </w:rPr>
      </w:pPr>
    </w:p>
    <w:p w:rsidR="008E65B1" w:rsidRPr="008E65B1" w:rsidRDefault="008E65B1" w:rsidP="00133EEF">
      <w:pPr>
        <w:spacing w:after="0" w:line="360" w:lineRule="auto"/>
        <w:jc w:val="both"/>
        <w:rPr>
          <w:rFonts w:ascii="Tahoma" w:hAnsi="Tahoma" w:cs="Tahoma"/>
          <w:sz w:val="24"/>
          <w:szCs w:val="24"/>
        </w:rPr>
      </w:pPr>
    </w:p>
    <w:sectPr w:rsidR="008E65B1" w:rsidRPr="008E65B1" w:rsidSect="00232ACE">
      <w:headerReference w:type="default" r:id="rId7"/>
      <w:footerReference w:type="default" r:id="rId8"/>
      <w:pgSz w:w="11906" w:h="16838"/>
      <w:pgMar w:top="1417" w:right="849" w:bottom="1417" w:left="1701" w:header="567"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CA4" w:rsidRDefault="00BC3CA4" w:rsidP="00477493">
      <w:pPr>
        <w:spacing w:after="0" w:line="240" w:lineRule="auto"/>
      </w:pPr>
      <w:r>
        <w:separator/>
      </w:r>
    </w:p>
  </w:endnote>
  <w:endnote w:type="continuationSeparator" w:id="0">
    <w:p w:rsidR="00BC3CA4" w:rsidRDefault="00BC3CA4" w:rsidP="0047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F9" w:rsidRDefault="00F725F9" w:rsidP="00477493">
    <w:pPr>
      <w:pBdr>
        <w:bottom w:val="single" w:sz="12" w:space="1" w:color="auto"/>
      </w:pBdr>
      <w:spacing w:after="0" w:line="240" w:lineRule="auto"/>
      <w:jc w:val="center"/>
      <w:rPr>
        <w:rFonts w:ascii="Verdana" w:hAnsi="Verdana" w:cs="Arial"/>
        <w:sz w:val="16"/>
        <w:szCs w:val="16"/>
      </w:rPr>
    </w:pPr>
    <w:r w:rsidRPr="00F725F9">
      <w:rPr>
        <w:rFonts w:ascii="Verdana" w:hAnsi="Verdana" w:cs="Arial"/>
        <w:sz w:val="16"/>
        <w:szCs w:val="16"/>
      </w:rPr>
      <w:t xml:space="preserve">Página </w:t>
    </w:r>
    <w:r w:rsidRPr="00F725F9">
      <w:rPr>
        <w:rFonts w:ascii="Verdana" w:hAnsi="Verdana" w:cs="Arial"/>
        <w:b/>
        <w:sz w:val="16"/>
        <w:szCs w:val="16"/>
      </w:rPr>
      <w:fldChar w:fldCharType="begin"/>
    </w:r>
    <w:r w:rsidRPr="00F725F9">
      <w:rPr>
        <w:rFonts w:ascii="Verdana" w:hAnsi="Verdana" w:cs="Arial"/>
        <w:b/>
        <w:sz w:val="16"/>
        <w:szCs w:val="16"/>
      </w:rPr>
      <w:instrText>PAGE  \* Arabic  \* MERGEFORMAT</w:instrText>
    </w:r>
    <w:r w:rsidRPr="00F725F9">
      <w:rPr>
        <w:rFonts w:ascii="Verdana" w:hAnsi="Verdana" w:cs="Arial"/>
        <w:b/>
        <w:sz w:val="16"/>
        <w:szCs w:val="16"/>
      </w:rPr>
      <w:fldChar w:fldCharType="separate"/>
    </w:r>
    <w:r w:rsidR="00690692">
      <w:rPr>
        <w:rFonts w:ascii="Verdana" w:hAnsi="Verdana" w:cs="Arial"/>
        <w:b/>
        <w:noProof/>
        <w:sz w:val="16"/>
        <w:szCs w:val="16"/>
      </w:rPr>
      <w:t>1</w:t>
    </w:r>
    <w:r w:rsidRPr="00F725F9">
      <w:rPr>
        <w:rFonts w:ascii="Verdana" w:hAnsi="Verdana" w:cs="Arial"/>
        <w:b/>
        <w:sz w:val="16"/>
        <w:szCs w:val="16"/>
      </w:rPr>
      <w:fldChar w:fldCharType="end"/>
    </w:r>
    <w:r w:rsidRPr="00F725F9">
      <w:rPr>
        <w:rFonts w:ascii="Verdana" w:hAnsi="Verdana" w:cs="Arial"/>
        <w:sz w:val="16"/>
        <w:szCs w:val="16"/>
      </w:rPr>
      <w:t xml:space="preserve"> de </w:t>
    </w:r>
    <w:r w:rsidRPr="00F725F9">
      <w:rPr>
        <w:rFonts w:ascii="Verdana" w:hAnsi="Verdana" w:cs="Arial"/>
        <w:b/>
        <w:sz w:val="16"/>
        <w:szCs w:val="16"/>
      </w:rPr>
      <w:fldChar w:fldCharType="begin"/>
    </w:r>
    <w:r w:rsidRPr="00F725F9">
      <w:rPr>
        <w:rFonts w:ascii="Verdana" w:hAnsi="Verdana" w:cs="Arial"/>
        <w:b/>
        <w:sz w:val="16"/>
        <w:szCs w:val="16"/>
      </w:rPr>
      <w:instrText>NUMPAGES  \* Arabic  \* MERGEFORMAT</w:instrText>
    </w:r>
    <w:r w:rsidRPr="00F725F9">
      <w:rPr>
        <w:rFonts w:ascii="Verdana" w:hAnsi="Verdana" w:cs="Arial"/>
        <w:b/>
        <w:sz w:val="16"/>
        <w:szCs w:val="16"/>
      </w:rPr>
      <w:fldChar w:fldCharType="separate"/>
    </w:r>
    <w:r w:rsidR="00690692">
      <w:rPr>
        <w:rFonts w:ascii="Verdana" w:hAnsi="Verdana" w:cs="Arial"/>
        <w:b/>
        <w:noProof/>
        <w:sz w:val="16"/>
        <w:szCs w:val="16"/>
      </w:rPr>
      <w:t>4</w:t>
    </w:r>
    <w:r w:rsidRPr="00F725F9">
      <w:rPr>
        <w:rFonts w:ascii="Verdana" w:hAnsi="Verdana" w:cs="Arial"/>
        <w:b/>
        <w:sz w:val="16"/>
        <w:szCs w:val="16"/>
      </w:rPr>
      <w:fldChar w:fldCharType="end"/>
    </w:r>
  </w:p>
  <w:p w:rsidR="00F725F9" w:rsidRPr="0041508C" w:rsidRDefault="00F725F9" w:rsidP="00477493">
    <w:pPr>
      <w:spacing w:after="0" w:line="240" w:lineRule="auto"/>
      <w:jc w:val="center"/>
      <w:rPr>
        <w:rFonts w:ascii="Verdana" w:hAnsi="Verdana" w:cs="Arial"/>
        <w:sz w:val="16"/>
        <w:szCs w:val="16"/>
      </w:rPr>
    </w:pPr>
    <w:r w:rsidRPr="0041508C">
      <w:rPr>
        <w:rFonts w:ascii="Verdana" w:hAnsi="Verdana" w:cs="Arial"/>
        <w:sz w:val="16"/>
        <w:szCs w:val="16"/>
      </w:rPr>
      <w:t xml:space="preserve">Rua Professor Lobo, 550 – Centro – Aracruz – E. Santo – CEP 29.190-910 – </w:t>
    </w:r>
    <w:proofErr w:type="spellStart"/>
    <w:r w:rsidRPr="0041508C">
      <w:rPr>
        <w:rFonts w:ascii="Verdana" w:hAnsi="Verdana" w:cs="Arial"/>
        <w:sz w:val="16"/>
        <w:szCs w:val="16"/>
      </w:rPr>
      <w:t>Tel</w:t>
    </w:r>
    <w:proofErr w:type="spellEnd"/>
    <w:r w:rsidRPr="0041508C">
      <w:rPr>
        <w:rFonts w:ascii="Verdana" w:hAnsi="Verdana" w:cs="Arial"/>
        <w:sz w:val="16"/>
        <w:szCs w:val="16"/>
      </w:rPr>
      <w:t>: (27) 3256-9491</w:t>
    </w:r>
  </w:p>
  <w:p w:rsidR="00F725F9" w:rsidRDefault="00F725F9" w:rsidP="00477493">
    <w:pPr>
      <w:spacing w:after="0" w:line="240" w:lineRule="auto"/>
      <w:jc w:val="center"/>
    </w:pPr>
    <w:r w:rsidRPr="0041508C">
      <w:rPr>
        <w:rFonts w:ascii="Verdana" w:hAnsi="Verdana" w:cs="Arial"/>
        <w:sz w:val="16"/>
        <w:szCs w:val="16"/>
      </w:rPr>
      <w:t>Telefax: (27) 3256-9492 –</w:t>
    </w:r>
    <w:r>
      <w:rPr>
        <w:rFonts w:ascii="Verdana" w:hAnsi="Verdana" w:cs="Arial"/>
        <w:sz w:val="16"/>
        <w:szCs w:val="16"/>
      </w:rPr>
      <w:t xml:space="preserve"> www.cma.es.gov.br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CA4" w:rsidRDefault="00BC3CA4" w:rsidP="00477493">
      <w:pPr>
        <w:spacing w:after="0" w:line="240" w:lineRule="auto"/>
      </w:pPr>
      <w:r>
        <w:separator/>
      </w:r>
    </w:p>
  </w:footnote>
  <w:footnote w:type="continuationSeparator" w:id="0">
    <w:p w:rsidR="00BC3CA4" w:rsidRDefault="00BC3CA4" w:rsidP="00477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F9" w:rsidRPr="003D61EA" w:rsidRDefault="00F725F9" w:rsidP="00477493">
    <w:pPr>
      <w:spacing w:after="0"/>
      <w:jc w:val="center"/>
      <w:rPr>
        <w:rFonts w:ascii="Edwardian Script ITC" w:hAnsi="Edwardian Script ITC"/>
        <w:sz w:val="66"/>
        <w:szCs w:val="66"/>
        <w:u w:val="single"/>
      </w:rPr>
    </w:pPr>
    <w:r>
      <w:rPr>
        <w:rFonts w:ascii="Edwardian Script ITC" w:hAnsi="Edwardian Script ITC"/>
        <w:noProof/>
        <w:sz w:val="66"/>
        <w:szCs w:val="66"/>
        <w:u w:val="single"/>
        <w:lang w:eastAsia="pt-BR"/>
      </w:rPr>
      <w:drawing>
        <wp:anchor distT="0" distB="0" distL="114300" distR="114300" simplePos="0" relativeHeight="251659264" behindDoc="0" locked="0" layoutInCell="1" allowOverlap="1" wp14:anchorId="63C64F1D" wp14:editId="49D5F748">
          <wp:simplePos x="0" y="0"/>
          <wp:positionH relativeFrom="column">
            <wp:posOffset>-66675</wp:posOffset>
          </wp:positionH>
          <wp:positionV relativeFrom="paragraph">
            <wp:posOffset>-62865</wp:posOffset>
          </wp:positionV>
          <wp:extent cx="1047750" cy="925830"/>
          <wp:effectExtent l="19050" t="19050" r="19050" b="2667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6000" contrast="24000"/>
                    <a:grayscl/>
                  </a:blip>
                  <a:srcRect/>
                  <a:stretch>
                    <a:fillRect/>
                  </a:stretch>
                </pic:blipFill>
                <pic:spPr bwMode="auto">
                  <a:xfrm>
                    <a:off x="0" y="0"/>
                    <a:ext cx="1047750" cy="925830"/>
                  </a:xfrm>
                  <a:prstGeom prst="rect">
                    <a:avLst/>
                  </a:prstGeom>
                  <a:solidFill>
                    <a:srgbClr val="FFFFFF"/>
                  </a:solidFill>
                  <a:ln w="9525">
                    <a:solidFill>
                      <a:srgbClr val="FFFFFF"/>
                    </a:solidFill>
                    <a:miter lim="800000"/>
                    <a:headEnd/>
                    <a:tailEnd/>
                  </a:ln>
                </pic:spPr>
              </pic:pic>
            </a:graphicData>
          </a:graphic>
        </wp:anchor>
      </w:drawing>
    </w:r>
    <w:r>
      <w:rPr>
        <w:rFonts w:ascii="Edwardian Script ITC" w:hAnsi="Edwardian Script ITC"/>
        <w:sz w:val="66"/>
        <w:szCs w:val="66"/>
        <w:u w:val="single"/>
      </w:rPr>
      <w:t xml:space="preserve">      </w:t>
    </w:r>
    <w:r w:rsidRPr="003D61EA">
      <w:rPr>
        <w:rFonts w:ascii="Edwardian Script ITC" w:hAnsi="Edwardian Script ITC"/>
        <w:sz w:val="66"/>
        <w:szCs w:val="66"/>
      </w:rPr>
      <w:t xml:space="preserve">      </w:t>
    </w:r>
    <w:r w:rsidRPr="003D61EA">
      <w:rPr>
        <w:rFonts w:ascii="Edwardian Script ITC" w:hAnsi="Edwardian Script ITC"/>
        <w:sz w:val="66"/>
        <w:szCs w:val="66"/>
        <w:u w:val="single"/>
      </w:rPr>
      <w:t>C</w:t>
    </w:r>
    <w:r w:rsidRPr="003D61EA">
      <w:rPr>
        <w:rFonts w:ascii="Edwardian Script ITC" w:hAnsi="Edwardian Script ITC"/>
        <w:sz w:val="72"/>
        <w:szCs w:val="72"/>
        <w:u w:val="single"/>
      </w:rPr>
      <w:t>âmara Municipal de Aracruz</w:t>
    </w:r>
  </w:p>
  <w:p w:rsidR="00F725F9" w:rsidRDefault="00F725F9" w:rsidP="00477493">
    <w:pPr>
      <w:pStyle w:val="Cabealho"/>
      <w:jc w:val="center"/>
      <w:rPr>
        <w:b/>
        <w:sz w:val="28"/>
        <w:szCs w:val="28"/>
      </w:rPr>
    </w:pPr>
    <w:r>
      <w:rPr>
        <w:b/>
        <w:sz w:val="28"/>
        <w:szCs w:val="28"/>
      </w:rPr>
      <w:t xml:space="preserve">               </w:t>
    </w:r>
    <w:r w:rsidRPr="00206B48">
      <w:rPr>
        <w:b/>
        <w:sz w:val="28"/>
        <w:szCs w:val="28"/>
      </w:rPr>
      <w:t>ESTADO DO ESPÍRITO SANTO</w:t>
    </w:r>
  </w:p>
  <w:p w:rsidR="00F725F9" w:rsidRDefault="00F725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A25F7"/>
    <w:multiLevelType w:val="hybridMultilevel"/>
    <w:tmpl w:val="9C3ADA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65C179B"/>
    <w:multiLevelType w:val="hybridMultilevel"/>
    <w:tmpl w:val="F988898A"/>
    <w:lvl w:ilvl="0" w:tplc="889644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5D7502"/>
    <w:multiLevelType w:val="hybridMultilevel"/>
    <w:tmpl w:val="1124DC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5F4FF6"/>
    <w:multiLevelType w:val="hybridMultilevel"/>
    <w:tmpl w:val="C2CE15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D34ABF"/>
    <w:multiLevelType w:val="hybridMultilevel"/>
    <w:tmpl w:val="2FC270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3C15CC"/>
    <w:multiLevelType w:val="hybridMultilevel"/>
    <w:tmpl w:val="C2408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9101484"/>
    <w:multiLevelType w:val="hybridMultilevel"/>
    <w:tmpl w:val="A948A0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2034E61"/>
    <w:multiLevelType w:val="hybridMultilevel"/>
    <w:tmpl w:val="38463A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5302DA9"/>
    <w:multiLevelType w:val="hybridMultilevel"/>
    <w:tmpl w:val="A1EEBB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86535B"/>
    <w:multiLevelType w:val="hybridMultilevel"/>
    <w:tmpl w:val="368269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AA09C6"/>
    <w:multiLevelType w:val="hybridMultilevel"/>
    <w:tmpl w:val="5D7CF0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9987E64"/>
    <w:multiLevelType w:val="hybridMultilevel"/>
    <w:tmpl w:val="8F2CEF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0"/>
  </w:num>
  <w:num w:numId="5">
    <w:abstractNumId w:val="8"/>
  </w:num>
  <w:num w:numId="6">
    <w:abstractNumId w:val="11"/>
  </w:num>
  <w:num w:numId="7">
    <w:abstractNumId w:val="9"/>
  </w:num>
  <w:num w:numId="8">
    <w:abstractNumId w:val="2"/>
  </w:num>
  <w:num w:numId="9">
    <w:abstractNumId w:val="6"/>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C71"/>
    <w:rsid w:val="00027C61"/>
    <w:rsid w:val="000B67C4"/>
    <w:rsid w:val="000B76E3"/>
    <w:rsid w:val="0010452A"/>
    <w:rsid w:val="00133EEF"/>
    <w:rsid w:val="00170F2B"/>
    <w:rsid w:val="00232ACE"/>
    <w:rsid w:val="002B7AA1"/>
    <w:rsid w:val="002C2B4C"/>
    <w:rsid w:val="002C3289"/>
    <w:rsid w:val="002F37F4"/>
    <w:rsid w:val="003F1011"/>
    <w:rsid w:val="00461EC5"/>
    <w:rsid w:val="00477493"/>
    <w:rsid w:val="00487E47"/>
    <w:rsid w:val="004A77C6"/>
    <w:rsid w:val="004E1F58"/>
    <w:rsid w:val="00511E03"/>
    <w:rsid w:val="00580B19"/>
    <w:rsid w:val="00622D5B"/>
    <w:rsid w:val="00690692"/>
    <w:rsid w:val="0069566B"/>
    <w:rsid w:val="007E315A"/>
    <w:rsid w:val="008C5C32"/>
    <w:rsid w:val="008C77F7"/>
    <w:rsid w:val="008E65B1"/>
    <w:rsid w:val="00933544"/>
    <w:rsid w:val="009452FF"/>
    <w:rsid w:val="009A55B1"/>
    <w:rsid w:val="009B2BA9"/>
    <w:rsid w:val="009B6E89"/>
    <w:rsid w:val="00A232B9"/>
    <w:rsid w:val="00A618F6"/>
    <w:rsid w:val="00AF212E"/>
    <w:rsid w:val="00B30C71"/>
    <w:rsid w:val="00B938E0"/>
    <w:rsid w:val="00BA2BEB"/>
    <w:rsid w:val="00BA6246"/>
    <w:rsid w:val="00BC3CA4"/>
    <w:rsid w:val="00C34166"/>
    <w:rsid w:val="00E84E99"/>
    <w:rsid w:val="00EC1C7C"/>
    <w:rsid w:val="00F4003D"/>
    <w:rsid w:val="00F52352"/>
    <w:rsid w:val="00F725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814B"/>
  <w15:docId w15:val="{3AA1FADF-8F05-4294-8DE0-D467FBEC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55B1"/>
    <w:pPr>
      <w:ind w:left="720"/>
      <w:contextualSpacing/>
    </w:pPr>
  </w:style>
  <w:style w:type="paragraph" w:styleId="Cabealho">
    <w:name w:val="header"/>
    <w:basedOn w:val="Normal"/>
    <w:link w:val="CabealhoChar"/>
    <w:uiPriority w:val="99"/>
    <w:unhideWhenUsed/>
    <w:rsid w:val="004774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7493"/>
  </w:style>
  <w:style w:type="paragraph" w:styleId="Rodap">
    <w:name w:val="footer"/>
    <w:basedOn w:val="Normal"/>
    <w:link w:val="RodapChar"/>
    <w:uiPriority w:val="99"/>
    <w:unhideWhenUsed/>
    <w:rsid w:val="00477493"/>
    <w:pPr>
      <w:tabs>
        <w:tab w:val="center" w:pos="4252"/>
        <w:tab w:val="right" w:pos="8504"/>
      </w:tabs>
      <w:spacing w:after="0" w:line="240" w:lineRule="auto"/>
    </w:pPr>
  </w:style>
  <w:style w:type="character" w:customStyle="1" w:styleId="RodapChar">
    <w:name w:val="Rodapé Char"/>
    <w:basedOn w:val="Fontepargpadro"/>
    <w:link w:val="Rodap"/>
    <w:uiPriority w:val="99"/>
    <w:rsid w:val="00477493"/>
  </w:style>
  <w:style w:type="paragraph" w:customStyle="1" w:styleId="Default">
    <w:name w:val="Default"/>
    <w:rsid w:val="00477493"/>
    <w:pPr>
      <w:autoSpaceDE w:val="0"/>
      <w:autoSpaceDN w:val="0"/>
      <w:adjustRightInd w:val="0"/>
      <w:spacing w:after="0" w:line="240" w:lineRule="auto"/>
    </w:pPr>
    <w:rPr>
      <w:rFonts w:ascii="Verdana" w:hAnsi="Verdana" w:cs="Verdana"/>
      <w:color w:val="000000"/>
      <w:sz w:val="24"/>
      <w:szCs w:val="24"/>
    </w:rPr>
  </w:style>
  <w:style w:type="character" w:styleId="Hyperlink">
    <w:name w:val="Hyperlink"/>
    <w:rsid w:val="00F725F9"/>
    <w:rPr>
      <w:color w:val="0000FF"/>
      <w:u w:val="single"/>
    </w:rPr>
  </w:style>
  <w:style w:type="paragraph" w:styleId="Textodebalo">
    <w:name w:val="Balloon Text"/>
    <w:basedOn w:val="Normal"/>
    <w:link w:val="TextodebaloChar"/>
    <w:uiPriority w:val="99"/>
    <w:semiHidden/>
    <w:unhideWhenUsed/>
    <w:rsid w:val="00AF2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212E"/>
    <w:rPr>
      <w:rFonts w:ascii="Tahoma" w:hAnsi="Tahoma" w:cs="Tahoma"/>
      <w:sz w:val="16"/>
      <w:szCs w:val="16"/>
    </w:rPr>
  </w:style>
  <w:style w:type="table" w:styleId="Tabelacomgrade">
    <w:name w:val="Table Grid"/>
    <w:basedOn w:val="Tabelanormal"/>
    <w:uiPriority w:val="59"/>
    <w:rsid w:val="00104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781</Words>
  <Characters>4221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Mônica de Souza P. Cordeiro</dc:creator>
  <cp:lastModifiedBy>Gabinete Mônica de Souza P. Cordeiro</cp:lastModifiedBy>
  <cp:revision>5</cp:revision>
  <cp:lastPrinted>2019-01-24T17:35:00Z</cp:lastPrinted>
  <dcterms:created xsi:type="dcterms:W3CDTF">2019-01-24T17:34:00Z</dcterms:created>
  <dcterms:modified xsi:type="dcterms:W3CDTF">2019-04-15T18:01:00Z</dcterms:modified>
</cp:coreProperties>
</file>