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Pr="003047C2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3047C2" w:rsidRPr="003047C2">
        <w:rPr>
          <w:rFonts w:ascii="Century Gothic" w:hAnsi="Century Gothic"/>
          <w:sz w:val="24"/>
          <w:szCs w:val="24"/>
        </w:rPr>
        <w:t>DISPÕE SOBRE O RESGATE DA ENFITEUSE NO MUNICÍPIO DE ARACRUZ,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>
        <w:rPr>
          <w:rFonts w:ascii="Century Gothic" w:hAnsi="Century Gothic" w:cs="Arial"/>
          <w:sz w:val="28"/>
          <w:szCs w:val="28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3047C2" w:rsidRPr="003047C2" w:rsidRDefault="00936BC5" w:rsidP="003047C2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3047C2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3047C2">
        <w:rPr>
          <w:rFonts w:ascii="Century Gothic" w:hAnsi="Century Gothic" w:cs="Arial"/>
          <w:sz w:val="24"/>
          <w:szCs w:val="24"/>
        </w:rPr>
        <w:t xml:space="preserve">do  </w:t>
      </w:r>
      <w:r w:rsidR="004E69C5" w:rsidRPr="003047C2">
        <w:rPr>
          <w:rFonts w:ascii="Century Gothic" w:hAnsi="Century Gothic" w:cs="Segoe UI"/>
          <w:b/>
          <w:bCs/>
          <w:color w:val="212529"/>
          <w:sz w:val="24"/>
          <w:szCs w:val="24"/>
        </w:rPr>
        <w:t>PROJETO</w:t>
      </w:r>
      <w:proofErr w:type="gramEnd"/>
      <w:r w:rsidR="004E69C5" w:rsidRPr="003047C2">
        <w:rPr>
          <w:rFonts w:ascii="Century Gothic" w:hAnsi="Century Gothic" w:cs="Segoe UI"/>
          <w:b/>
          <w:bCs/>
          <w:color w:val="212529"/>
          <w:sz w:val="24"/>
          <w:szCs w:val="24"/>
        </w:rPr>
        <w:t xml:space="preserve"> DE LEI N.º 0</w:t>
      </w:r>
      <w:r w:rsidR="003047C2" w:rsidRPr="003047C2">
        <w:rPr>
          <w:rFonts w:ascii="Century Gothic" w:hAnsi="Century Gothic" w:cs="Segoe UI"/>
          <w:b/>
          <w:bCs/>
          <w:color w:val="212529"/>
          <w:sz w:val="24"/>
          <w:szCs w:val="24"/>
        </w:rPr>
        <w:t>35/</w:t>
      </w:r>
      <w:r w:rsidR="004E69C5" w:rsidRPr="003047C2">
        <w:rPr>
          <w:rFonts w:ascii="Century Gothic" w:hAnsi="Century Gothic" w:cs="Segoe UI"/>
          <w:b/>
          <w:bCs/>
          <w:color w:val="212529"/>
          <w:sz w:val="24"/>
          <w:szCs w:val="24"/>
        </w:rPr>
        <w:t>2020</w:t>
      </w:r>
      <w:r w:rsidR="004E69C5" w:rsidRPr="003047C2">
        <w:rPr>
          <w:rFonts w:ascii="Century Gothic" w:hAnsi="Century Gothic" w:cs="Segoe UI"/>
          <w:color w:val="212529"/>
          <w:sz w:val="24"/>
          <w:szCs w:val="24"/>
        </w:rPr>
        <w:t xml:space="preserve">. </w:t>
      </w:r>
      <w:r w:rsidR="003047C2" w:rsidRPr="003047C2">
        <w:rPr>
          <w:rFonts w:ascii="Century Gothic" w:hAnsi="Century Gothic"/>
          <w:sz w:val="24"/>
          <w:szCs w:val="24"/>
        </w:rPr>
        <w:t>DISPÕE SOBRE O RESGATE DA ENFITEUSE NO MUNICÍPIO DE ARACRUZ, E DÁ OUTRAS PROVIDÊNCIAS.</w:t>
      </w:r>
    </w:p>
    <w:p w:rsidR="00936BC5" w:rsidRPr="003047C2" w:rsidRDefault="004C33BF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3047C2">
        <w:rPr>
          <w:rFonts w:ascii="Century Gothic" w:hAnsi="Century Gothic" w:cs="Arial"/>
          <w:sz w:val="24"/>
          <w:szCs w:val="24"/>
        </w:rPr>
        <w:t>O Proponente esclarece</w:t>
      </w:r>
      <w:r w:rsidR="004E69C5" w:rsidRPr="003047C2">
        <w:rPr>
          <w:rFonts w:ascii="Century Gothic" w:hAnsi="Century Gothic" w:cs="Arial"/>
          <w:sz w:val="24"/>
          <w:szCs w:val="24"/>
        </w:rPr>
        <w:t xml:space="preserve"> </w:t>
      </w:r>
      <w:r w:rsidR="003047C2" w:rsidRPr="003047C2">
        <w:rPr>
          <w:rFonts w:ascii="Century Gothic" w:hAnsi="Century Gothic"/>
          <w:sz w:val="24"/>
          <w:szCs w:val="24"/>
        </w:rPr>
        <w:t>que c</w:t>
      </w:r>
      <w:r w:rsidR="003047C2" w:rsidRPr="003047C2">
        <w:rPr>
          <w:rFonts w:ascii="Century Gothic" w:hAnsi="Century Gothic"/>
          <w:sz w:val="24"/>
          <w:szCs w:val="24"/>
        </w:rPr>
        <w:t xml:space="preserve">onsiderando as várias contratações de enfiteuse ou aforamento realizadas entre o Município de Aracruz e particulares, tendo como objeto frações de terras compreendidas dentro da área total registrada no Registro Geral de Imóveis sob o nº 87 do Livro 4-A, na posse e uso dos enfiteutas, nas quais edificaram benfeitorias, e os respectivos Atos de Aforamento devidamente averbados na referida Serventia Registral. Considerando que, a enfiteuse é uma relação contratual introduzida no Código Civil Brasileiro de 1916, admitida entre particulares e também entre particulares e o Poder Público, mediante o pagamento de um laudêmio e uma pensão anual de foro, que não são tributos, sendo o laudêmio um prêmio devido ao senhorio no caso de transferência do referido direito pelo enfiteuta para outrem, e a pensão anual de foro uma forma de compensação também devida ao senhorio pelo não uso do domínio útil do terreno enquanto durar o aforamento. Considerando que, o valor do laudêmio, tanto para a transferência do domínio útil quanto para o resgate do aforamento, é o estabelecido no Código Civil Brasileiro de 1916, nos </w:t>
      </w:r>
      <w:proofErr w:type="spellStart"/>
      <w:r w:rsidR="003047C2" w:rsidRPr="003047C2">
        <w:rPr>
          <w:rFonts w:ascii="Century Gothic" w:hAnsi="Century Gothic"/>
          <w:sz w:val="24"/>
          <w:szCs w:val="24"/>
        </w:rPr>
        <w:t>Arts</w:t>
      </w:r>
      <w:proofErr w:type="spellEnd"/>
      <w:r w:rsidR="003047C2" w:rsidRPr="003047C2">
        <w:rPr>
          <w:rFonts w:ascii="Century Gothic" w:hAnsi="Century Gothic"/>
          <w:sz w:val="24"/>
          <w:szCs w:val="24"/>
        </w:rPr>
        <w:t>. 686 e 693, no percentual de 2,5% (dois e meio por cento), calculado sobre o valor da terra nua objeto do aforamento, conforme previsto no parágrafo 1º, inciso I, do Art. 2.038 do Código Civil de 2002. Considerando que, o valor da pensão anual de foro deve ser certo e invariável, e cabe ao senhorio fixá-lo, porém, em valor módico, pequeno, modesto, não sendo permitida a cobrança com base na produção, no cultivo ou qualquer outra forma decorrente do uso do terreno aforado, sendo razoável e justo, portanto, o valor equivalente à fração de 0,5% (meio por cento), também calculado sobre o valor da terra nua do terreno, vez que é o valor médio mais adequado e estabelecido noutros municípios da Federação, e, sendo assim, é também o adotado pelo senhorio (Município de Aracruz) na elaboração e para os fins do projeto de lei complementar anexo.</w:t>
      </w:r>
      <w:r w:rsidR="004E69C5" w:rsidRPr="003047C2">
        <w:rPr>
          <w:rFonts w:ascii="Century Gothic" w:hAnsi="Century Gothic" w:cs="Arial"/>
          <w:b/>
          <w:sz w:val="24"/>
          <w:szCs w:val="24"/>
        </w:rPr>
        <w:t xml:space="preserve"> </w:t>
      </w:r>
      <w:r w:rsidR="00936BC5" w:rsidRPr="003047C2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3047C2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3047C2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</w:t>
      </w:r>
      <w:r w:rsidRPr="003047C2">
        <w:rPr>
          <w:rFonts w:ascii="Century Gothic" w:hAnsi="Century Gothic" w:cs="Arial"/>
          <w:sz w:val="24"/>
          <w:szCs w:val="24"/>
        </w:rPr>
        <w:lastRenderedPageBreak/>
        <w:t xml:space="preserve">viciosidade constitucional que </w:t>
      </w:r>
      <w:r w:rsidR="004C33BF" w:rsidRPr="003047C2">
        <w:rPr>
          <w:rFonts w:ascii="Century Gothic" w:hAnsi="Century Gothic" w:cs="Arial"/>
          <w:sz w:val="24"/>
          <w:szCs w:val="24"/>
        </w:rPr>
        <w:t>obstasse</w:t>
      </w:r>
      <w:r w:rsidRPr="003047C2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 w:rsidRPr="003047C2">
        <w:rPr>
          <w:rFonts w:ascii="Century Gothic" w:hAnsi="Century Gothic" w:cs="Arial"/>
          <w:sz w:val="24"/>
          <w:szCs w:val="24"/>
        </w:rPr>
        <w:t xml:space="preserve"> opinativo</w:t>
      </w:r>
      <w:r w:rsidRPr="003047C2">
        <w:rPr>
          <w:rFonts w:ascii="Century Gothic" w:hAnsi="Century Gothic" w:cs="Arial"/>
          <w:sz w:val="24"/>
          <w:szCs w:val="24"/>
        </w:rPr>
        <w:t xml:space="preserve"> de fls.</w:t>
      </w:r>
      <w:r w:rsidR="003047C2">
        <w:rPr>
          <w:rFonts w:ascii="Century Gothic" w:hAnsi="Century Gothic" w:cs="Arial"/>
          <w:sz w:val="24"/>
          <w:szCs w:val="24"/>
        </w:rPr>
        <w:t>09/15</w:t>
      </w:r>
      <w:r w:rsidRPr="003047C2">
        <w:rPr>
          <w:rFonts w:ascii="Century Gothic" w:hAnsi="Century Gothic" w:cs="Arial"/>
          <w:sz w:val="24"/>
          <w:szCs w:val="24"/>
        </w:rPr>
        <w:t>.</w:t>
      </w:r>
    </w:p>
    <w:p w:rsidR="00936BC5" w:rsidRPr="003047C2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3047C2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3047C2">
        <w:rPr>
          <w:rFonts w:ascii="Century Gothic" w:hAnsi="Century Gothic" w:cs="Arial"/>
          <w:sz w:val="24"/>
          <w:szCs w:val="24"/>
        </w:rPr>
        <w:t>É o breve relatório.</w:t>
      </w: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Pr="00A9360B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3047C2">
        <w:rPr>
          <w:rFonts w:ascii="Century Gothic" w:hAnsi="Century Gothic" w:cs="Arial"/>
          <w:sz w:val="24"/>
          <w:szCs w:val="24"/>
        </w:rPr>
        <w:t>35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ED2246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8550A">
        <w:rPr>
          <w:rFonts w:ascii="Century Gothic" w:hAnsi="Century Gothic" w:cs="Arial"/>
          <w:sz w:val="24"/>
          <w:szCs w:val="24"/>
        </w:rPr>
        <w:t>Executivo Municipal,</w:t>
      </w:r>
      <w:r w:rsidR="00E8550A" w:rsidRPr="00E8550A">
        <w:rPr>
          <w:rFonts w:ascii="Century Gothic" w:hAnsi="Century Gothic" w:cs="Arial"/>
          <w:sz w:val="24"/>
          <w:szCs w:val="24"/>
        </w:rPr>
        <w:t xml:space="preserve"> </w:t>
      </w:r>
      <w:r w:rsidR="00E8550A">
        <w:rPr>
          <w:rFonts w:ascii="Century Gothic" w:hAnsi="Century Gothic" w:cs="Arial"/>
          <w:sz w:val="24"/>
          <w:szCs w:val="24"/>
        </w:rPr>
        <w:t>com emenda</w:t>
      </w:r>
      <w:r w:rsidR="00E8550A" w:rsidRPr="00A9360B">
        <w:rPr>
          <w:rFonts w:ascii="Century Gothic" w:hAnsi="Century Gothic" w:cs="Arial"/>
          <w:sz w:val="24"/>
          <w:szCs w:val="24"/>
        </w:rPr>
        <w:t>, em</w:t>
      </w:r>
      <w:r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fls.</w:t>
      </w:r>
      <w:r w:rsidR="003047C2">
        <w:rPr>
          <w:rFonts w:ascii="Century Gothic" w:hAnsi="Century Gothic" w:cs="Arial"/>
          <w:sz w:val="24"/>
          <w:szCs w:val="24"/>
        </w:rPr>
        <w:t>09/15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3047C2">
        <w:rPr>
          <w:rFonts w:ascii="Century Gothic" w:hAnsi="Century Gothic" w:cs="Arial"/>
          <w:sz w:val="24"/>
          <w:szCs w:val="24"/>
        </w:rPr>
        <w:t>14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3047C2">
        <w:rPr>
          <w:rFonts w:ascii="Century Gothic" w:hAnsi="Century Gothic" w:cs="Arial"/>
          <w:sz w:val="24"/>
          <w:szCs w:val="24"/>
        </w:rPr>
        <w:t>outubro</w:t>
      </w:r>
      <w:bookmarkStart w:id="0" w:name="_GoBack"/>
      <w:bookmarkEnd w:id="0"/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Default="004E69C5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Pr="00ED2246" w:rsidRDefault="004E69C5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F67" w:rsidRDefault="00A01F67">
      <w:r>
        <w:separator/>
      </w:r>
    </w:p>
  </w:endnote>
  <w:endnote w:type="continuationSeparator" w:id="0">
    <w:p w:rsidR="00A01F67" w:rsidRDefault="00A0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F67" w:rsidRDefault="00A01F67">
      <w:r>
        <w:separator/>
      </w:r>
    </w:p>
  </w:footnote>
  <w:footnote w:type="continuationSeparator" w:id="0">
    <w:p w:rsidR="00A01F67" w:rsidRDefault="00A01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33F7F"/>
    <w:rsid w:val="00257C8A"/>
    <w:rsid w:val="00260B5B"/>
    <w:rsid w:val="00282140"/>
    <w:rsid w:val="002A320A"/>
    <w:rsid w:val="002B6FAE"/>
    <w:rsid w:val="003047C2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69C5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01F67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95908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54051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9C9B-17D1-4204-BC2D-6A444AAD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2020-10-14T17:43:00Z</cp:lastPrinted>
  <dcterms:created xsi:type="dcterms:W3CDTF">2020-10-14T17:43:00Z</dcterms:created>
  <dcterms:modified xsi:type="dcterms:W3CDTF">2020-10-14T17:43:00Z</dcterms:modified>
</cp:coreProperties>
</file>