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0234EE" w:rsidRPr="002F3B61" w:rsidRDefault="00936BC5" w:rsidP="000234EE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2F3B61" w:rsidRPr="002F3B61">
        <w:rPr>
          <w:rFonts w:ascii="Century Gothic" w:hAnsi="Century Gothic"/>
          <w:sz w:val="24"/>
          <w:szCs w:val="24"/>
        </w:rPr>
        <w:t>SUBSTITUTIVO AO PROJETO DE LEI 025/2020. DISPÕE SOBRE A CONCESSÃO DE ABONO DE FALTA AOS SERVIDORES MUNICIPAIS DE ARACRUZ E DÁ OUTRAS PROVIDÊNCIAS.</w:t>
      </w:r>
    </w:p>
    <w:p w:rsidR="000234EE" w:rsidRPr="002F3B61" w:rsidRDefault="000234EE" w:rsidP="000234EE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936BC5" w:rsidRPr="002F0816" w:rsidRDefault="00936BC5" w:rsidP="000234EE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AUTOR: </w:t>
      </w:r>
      <w:r w:rsidR="00E8550A" w:rsidRPr="002F0816">
        <w:rPr>
          <w:rFonts w:ascii="Century Gothic" w:hAnsi="Century Gothic" w:cs="Arial"/>
          <w:sz w:val="24"/>
          <w:szCs w:val="24"/>
        </w:rPr>
        <w:t>Executivo Municipal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 xml:space="preserve">: </w:t>
      </w:r>
      <w:r w:rsidRPr="002F0816">
        <w:rPr>
          <w:rFonts w:ascii="Century Gothic" w:hAnsi="Century Gothic" w:cs="Arial"/>
          <w:sz w:val="24"/>
          <w:szCs w:val="24"/>
        </w:rPr>
        <w:t>José Gomes dos Santos</w:t>
      </w: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>PELA CONSTITUCIONALIDADE</w:t>
      </w:r>
    </w:p>
    <w:p w:rsidR="00936BC5" w:rsidRPr="00A9360B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2168C1" w:rsidRDefault="00936BC5" w:rsidP="002F3B61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5E59C5">
        <w:rPr>
          <w:rFonts w:ascii="Century Gothic" w:hAnsi="Century Gothic" w:cs="Arial"/>
          <w:sz w:val="24"/>
          <w:szCs w:val="24"/>
        </w:rPr>
        <w:t xml:space="preserve">Trata-se do  </w:t>
      </w:r>
      <w:r w:rsidR="002F0816">
        <w:rPr>
          <w:rFonts w:ascii="Century Gothic" w:hAnsi="Century Gothic" w:cs="Arial"/>
          <w:sz w:val="24"/>
          <w:szCs w:val="24"/>
        </w:rPr>
        <w:t xml:space="preserve"> Substitutivo ao </w:t>
      </w:r>
      <w:r w:rsidR="004E69C5" w:rsidRPr="00664F59">
        <w:rPr>
          <w:rFonts w:ascii="Segoe UI" w:hAnsi="Segoe UI" w:cs="Segoe UI"/>
          <w:b/>
          <w:bCs/>
          <w:color w:val="212529"/>
        </w:rPr>
        <w:t>PROJETO DE LEI N.º 0</w:t>
      </w:r>
      <w:r w:rsidR="002F3B61">
        <w:rPr>
          <w:rFonts w:ascii="Segoe UI" w:hAnsi="Segoe UI" w:cs="Segoe UI"/>
          <w:b/>
          <w:bCs/>
          <w:color w:val="212529"/>
        </w:rPr>
        <w:t>25</w:t>
      </w:r>
      <w:r w:rsidR="004E69C5" w:rsidRPr="00664F59">
        <w:rPr>
          <w:rFonts w:ascii="Segoe UI" w:hAnsi="Segoe UI" w:cs="Segoe UI"/>
          <w:b/>
          <w:bCs/>
          <w:color w:val="212529"/>
        </w:rPr>
        <w:t>/2020</w:t>
      </w:r>
      <w:r w:rsidR="002F0816" w:rsidRPr="002F0816">
        <w:rPr>
          <w:rFonts w:ascii="Century Gothic" w:hAnsi="Century Gothic"/>
          <w:sz w:val="24"/>
          <w:szCs w:val="24"/>
        </w:rPr>
        <w:t xml:space="preserve"> </w:t>
      </w:r>
      <w:r w:rsidR="002F3B61" w:rsidRPr="002F3B61">
        <w:rPr>
          <w:rFonts w:ascii="Century Gothic" w:hAnsi="Century Gothic"/>
          <w:sz w:val="24"/>
          <w:szCs w:val="24"/>
        </w:rPr>
        <w:t>DISPÕE SOBRE A CONCESSÃO DE ABONO DE FALTA AOS SERVIDORES MUNICIPAIS DE ARACRUZ E DÁ OUTRAS PROVIDÊNCIAS</w:t>
      </w:r>
      <w:r w:rsidR="004E69C5" w:rsidRPr="004E69C5">
        <w:rPr>
          <w:rFonts w:ascii="Century Gothic" w:eastAsia="Arial" w:hAnsi="Century Gothic" w:cs="Arial"/>
          <w:b/>
          <w:sz w:val="24"/>
          <w:szCs w:val="24"/>
        </w:rPr>
        <w:t xml:space="preserve">, </w:t>
      </w:r>
      <w:r w:rsidR="004E69C5" w:rsidRPr="004E69C5">
        <w:rPr>
          <w:rFonts w:ascii="Century Gothic" w:hAnsi="Century Gothic" w:cs="Arial"/>
          <w:sz w:val="24"/>
          <w:szCs w:val="24"/>
        </w:rPr>
        <w:t>de autoria do Poder Executivo Municipal</w:t>
      </w:r>
      <w:r w:rsidR="004C33BF" w:rsidRPr="004E69C5">
        <w:rPr>
          <w:rFonts w:ascii="Century Gothic" w:hAnsi="Century Gothic"/>
          <w:sz w:val="24"/>
          <w:szCs w:val="24"/>
        </w:rPr>
        <w:t>.</w:t>
      </w:r>
      <w:r w:rsidR="004C33BF" w:rsidRPr="004E69C5">
        <w:rPr>
          <w:rFonts w:ascii="Century Gothic" w:hAnsi="Century Gothic" w:cs="Arial"/>
          <w:sz w:val="24"/>
          <w:szCs w:val="24"/>
        </w:rPr>
        <w:t xml:space="preserve"> O Proponente esclarece</w:t>
      </w:r>
      <w:r w:rsidR="004E69C5" w:rsidRPr="004E69C5">
        <w:rPr>
          <w:rFonts w:ascii="Century Gothic" w:hAnsi="Century Gothic" w:cs="Arial"/>
          <w:sz w:val="24"/>
          <w:szCs w:val="24"/>
        </w:rPr>
        <w:t xml:space="preserve"> </w:t>
      </w:r>
      <w:r w:rsidR="002F0816">
        <w:rPr>
          <w:rFonts w:ascii="Century Gothic" w:hAnsi="Century Gothic"/>
          <w:sz w:val="24"/>
          <w:szCs w:val="24"/>
        </w:rPr>
        <w:t>que,</w:t>
      </w:r>
      <w:r w:rsidR="002F0816" w:rsidRPr="002F0816">
        <w:t xml:space="preserve"> </w:t>
      </w:r>
      <w:r w:rsidR="002F3B61" w:rsidRPr="002F3B61">
        <w:rPr>
          <w:rFonts w:ascii="Century Gothic" w:hAnsi="Century Gothic"/>
          <w:sz w:val="24"/>
          <w:szCs w:val="24"/>
        </w:rPr>
        <w:t>o presente Substitutivo ao Projeto de Lei que dispõe sobre a concessão de um abono de falta, limitando-se a 6 (seis) faltas por ano, considera a existência dessa previsão no art. 25, da IN SRH Nº 001/2014 (versão 05.00), bem como no art. 32, da Lei Complementar Estadual nº 46/94 (Regime Jurídico dos Servidores Públicos Civis do Estado do Espírito Santo).</w:t>
      </w:r>
    </w:p>
    <w:p w:rsidR="00936BC5" w:rsidRPr="002168C1" w:rsidRDefault="00936BC5" w:rsidP="002168C1">
      <w:pPr>
        <w:ind w:left="567"/>
        <w:rPr>
          <w:rFonts w:ascii="Century Gothic" w:hAnsi="Century Gothic" w:cs="Arial"/>
          <w:sz w:val="24"/>
          <w:szCs w:val="24"/>
        </w:rPr>
      </w:pPr>
      <w:r w:rsidRPr="002168C1">
        <w:rPr>
          <w:rFonts w:ascii="Century Gothic" w:hAnsi="Century Gothic" w:cs="Arial"/>
          <w:sz w:val="24"/>
          <w:szCs w:val="24"/>
        </w:rPr>
        <w:t>É o que importa relatar</w:t>
      </w:r>
    </w:p>
    <w:p w:rsidR="00936BC5" w:rsidRPr="004E69C5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4E69C5">
        <w:rPr>
          <w:rFonts w:ascii="Century Gothic" w:hAnsi="Century Gothic" w:cs="Arial"/>
          <w:sz w:val="24"/>
          <w:szCs w:val="24"/>
        </w:rPr>
        <w:t xml:space="preserve">A douta Procuradoria desta casa analisou o teor da presente proposta, entendeu que a matéria constante no bojo do Projeto de Lei não contemplou viciosidade constitucional que </w:t>
      </w:r>
      <w:r w:rsidR="004C33BF" w:rsidRPr="004E69C5">
        <w:rPr>
          <w:rFonts w:ascii="Century Gothic" w:hAnsi="Century Gothic" w:cs="Arial"/>
          <w:sz w:val="24"/>
          <w:szCs w:val="24"/>
        </w:rPr>
        <w:t>obstasse</w:t>
      </w:r>
      <w:r w:rsidRPr="004E69C5">
        <w:rPr>
          <w:rFonts w:ascii="Century Gothic" w:hAnsi="Century Gothic" w:cs="Arial"/>
          <w:sz w:val="24"/>
          <w:szCs w:val="24"/>
        </w:rPr>
        <w:t xml:space="preserve"> a tramitação do mesmo, nos termos do parecer</w:t>
      </w:r>
      <w:r w:rsidR="00E8550A" w:rsidRPr="004E69C5">
        <w:rPr>
          <w:rFonts w:ascii="Century Gothic" w:hAnsi="Century Gothic" w:cs="Arial"/>
          <w:sz w:val="24"/>
          <w:szCs w:val="24"/>
        </w:rPr>
        <w:t xml:space="preserve"> opinativo</w:t>
      </w:r>
      <w:r w:rsidRPr="004E69C5">
        <w:rPr>
          <w:rFonts w:ascii="Century Gothic" w:hAnsi="Century Gothic" w:cs="Arial"/>
          <w:sz w:val="24"/>
          <w:szCs w:val="24"/>
        </w:rPr>
        <w:t xml:space="preserve"> </w:t>
      </w:r>
      <w:r w:rsidR="002F3B61">
        <w:rPr>
          <w:rFonts w:ascii="Century Gothic" w:hAnsi="Century Gothic" w:cs="Arial"/>
          <w:sz w:val="24"/>
          <w:szCs w:val="24"/>
        </w:rPr>
        <w:t>fls.1</w:t>
      </w:r>
      <w:r w:rsidR="002F3B61">
        <w:rPr>
          <w:rFonts w:ascii="Century Gothic" w:hAnsi="Century Gothic" w:cs="Arial"/>
          <w:sz w:val="24"/>
          <w:szCs w:val="24"/>
        </w:rPr>
        <w:t>0</w:t>
      </w:r>
      <w:r w:rsidR="002F3B61">
        <w:rPr>
          <w:rFonts w:ascii="Century Gothic" w:hAnsi="Century Gothic" w:cs="Arial"/>
          <w:sz w:val="24"/>
          <w:szCs w:val="24"/>
        </w:rPr>
        <w:t>/</w:t>
      </w:r>
      <w:r w:rsidR="002F3B61">
        <w:rPr>
          <w:rFonts w:ascii="Century Gothic" w:hAnsi="Century Gothic" w:cs="Arial"/>
          <w:sz w:val="24"/>
          <w:szCs w:val="24"/>
        </w:rPr>
        <w:t>20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4E69C5" w:rsidRPr="00A9360B" w:rsidRDefault="00936BC5" w:rsidP="002F3B61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É o breve relatório.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7E6C4F" w:rsidRDefault="002F3B61" w:rsidP="002208E3">
      <w:pPr>
        <w:ind w:left="567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A pós </w:t>
      </w:r>
      <w:proofErr w:type="gramStart"/>
      <w:r w:rsidR="002208E3">
        <w:rPr>
          <w:rFonts w:ascii="Century Gothic" w:hAnsi="Century Gothic" w:cs="Arial"/>
          <w:sz w:val="24"/>
          <w:szCs w:val="24"/>
        </w:rPr>
        <w:t>análise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2208E3">
        <w:rPr>
          <w:rFonts w:ascii="Century Gothic" w:hAnsi="Century Gothic" w:cs="Arial"/>
          <w:sz w:val="24"/>
          <w:szCs w:val="24"/>
        </w:rPr>
        <w:t>,</w:t>
      </w:r>
      <w:proofErr w:type="gramEnd"/>
      <w:r w:rsidR="002208E3">
        <w:rPr>
          <w:rFonts w:ascii="Century Gothic" w:hAnsi="Century Gothic" w:cs="Arial"/>
          <w:sz w:val="24"/>
          <w:szCs w:val="24"/>
        </w:rPr>
        <w:t xml:space="preserve"> </w:t>
      </w:r>
      <w:r w:rsidR="002208E3" w:rsidRPr="00A9360B">
        <w:rPr>
          <w:rFonts w:ascii="Century Gothic" w:hAnsi="Century Gothic" w:cs="Arial"/>
          <w:sz w:val="24"/>
          <w:szCs w:val="24"/>
        </w:rPr>
        <w:t>este</w:t>
      </w:r>
      <w:r w:rsidR="00936BC5" w:rsidRPr="00A9360B">
        <w:rPr>
          <w:rFonts w:ascii="Century Gothic" w:hAnsi="Century Gothic" w:cs="Arial"/>
          <w:sz w:val="24"/>
          <w:szCs w:val="24"/>
        </w:rPr>
        <w:t xml:space="preserve"> Relator se manifesta pela </w:t>
      </w:r>
      <w:r w:rsidR="00936BC5" w:rsidRPr="00ED2246">
        <w:rPr>
          <w:rFonts w:ascii="Century Gothic" w:hAnsi="Century Gothic" w:cs="Arial"/>
          <w:b/>
          <w:bCs/>
          <w:sz w:val="24"/>
          <w:szCs w:val="24"/>
        </w:rPr>
        <w:t>constitucionalidade</w:t>
      </w:r>
      <w:r w:rsidR="00936BC5" w:rsidRPr="00A9360B">
        <w:rPr>
          <w:rFonts w:ascii="Century Gothic" w:hAnsi="Century Gothic" w:cs="Arial"/>
          <w:sz w:val="24"/>
          <w:szCs w:val="24"/>
        </w:rPr>
        <w:t xml:space="preserve"> d</w:t>
      </w:r>
      <w:r w:rsidR="002208E3">
        <w:rPr>
          <w:rFonts w:ascii="Century Gothic" w:hAnsi="Century Gothic" w:cs="Arial"/>
          <w:sz w:val="24"/>
          <w:szCs w:val="24"/>
        </w:rPr>
        <w:t xml:space="preserve">a matéria </w:t>
      </w:r>
      <w:r w:rsidR="00E8550A" w:rsidRPr="00A9360B">
        <w:rPr>
          <w:rFonts w:ascii="Century Gothic" w:hAnsi="Century Gothic" w:cs="Arial"/>
          <w:sz w:val="24"/>
          <w:szCs w:val="24"/>
        </w:rPr>
        <w:t>em</w:t>
      </w:r>
      <w:r w:rsidR="00936BC5" w:rsidRPr="00A9360B">
        <w:rPr>
          <w:rFonts w:ascii="Century Gothic" w:hAnsi="Century Gothic" w:cs="Arial"/>
          <w:sz w:val="24"/>
          <w:szCs w:val="24"/>
        </w:rPr>
        <w:t xml:space="preserve"> conformidade </w:t>
      </w:r>
      <w:proofErr w:type="spellStart"/>
      <w:r w:rsidR="00936BC5" w:rsidRPr="00A9360B">
        <w:rPr>
          <w:rFonts w:ascii="Century Gothic" w:hAnsi="Century Gothic" w:cs="Arial"/>
          <w:sz w:val="24"/>
          <w:szCs w:val="24"/>
        </w:rPr>
        <w:t>á</w:t>
      </w:r>
      <w:proofErr w:type="spellEnd"/>
      <w:r w:rsidR="00936BC5" w:rsidRPr="00A9360B">
        <w:rPr>
          <w:rFonts w:ascii="Century Gothic" w:hAnsi="Century Gothic" w:cs="Arial"/>
          <w:sz w:val="24"/>
          <w:szCs w:val="24"/>
        </w:rPr>
        <w:t xml:space="preserve"> fundamentação exarada no parecer </w:t>
      </w:r>
      <w:r w:rsidR="00417148">
        <w:rPr>
          <w:rFonts w:ascii="Century Gothic" w:hAnsi="Century Gothic" w:cs="Arial"/>
          <w:sz w:val="24"/>
          <w:szCs w:val="24"/>
        </w:rPr>
        <w:t xml:space="preserve">opinativo </w:t>
      </w:r>
      <w:r>
        <w:rPr>
          <w:rFonts w:ascii="Century Gothic" w:hAnsi="Century Gothic" w:cs="Arial"/>
          <w:sz w:val="24"/>
          <w:szCs w:val="24"/>
        </w:rPr>
        <w:t>fls.10/20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2F3B61">
        <w:rPr>
          <w:rFonts w:ascii="Century Gothic" w:hAnsi="Century Gothic" w:cs="Arial"/>
          <w:sz w:val="24"/>
          <w:szCs w:val="24"/>
        </w:rPr>
        <w:t>06</w:t>
      </w:r>
      <w:r w:rsidR="00ED2246">
        <w:rPr>
          <w:rFonts w:ascii="Century Gothic" w:hAnsi="Century Gothic" w:cs="Arial"/>
          <w:sz w:val="24"/>
          <w:szCs w:val="24"/>
        </w:rPr>
        <w:t xml:space="preserve"> de </w:t>
      </w:r>
      <w:r w:rsidR="002F3B61">
        <w:rPr>
          <w:rFonts w:ascii="Century Gothic" w:hAnsi="Century Gothic" w:cs="Arial"/>
          <w:sz w:val="24"/>
          <w:szCs w:val="24"/>
        </w:rPr>
        <w:t>outubro</w:t>
      </w:r>
      <w:bookmarkStart w:id="0" w:name="_GoBack"/>
      <w:bookmarkEnd w:id="0"/>
      <w:r w:rsidR="00417148">
        <w:rPr>
          <w:rFonts w:ascii="Century Gothic" w:hAnsi="Century Gothic" w:cs="Arial"/>
          <w:sz w:val="24"/>
          <w:szCs w:val="24"/>
        </w:rPr>
        <w:t xml:space="preserve"> </w:t>
      </w:r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E8550A" w:rsidRDefault="00E8550A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4E69C5" w:rsidRDefault="004E69C5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4E69C5" w:rsidRPr="00ED2246" w:rsidRDefault="004E69C5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F6F" w:rsidRDefault="003A6F6F">
      <w:r>
        <w:separator/>
      </w:r>
    </w:p>
  </w:endnote>
  <w:endnote w:type="continuationSeparator" w:id="0">
    <w:p w:rsidR="003A6F6F" w:rsidRDefault="003A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F6F" w:rsidRDefault="003A6F6F">
      <w:r>
        <w:separator/>
      </w:r>
    </w:p>
  </w:footnote>
  <w:footnote w:type="continuationSeparator" w:id="0">
    <w:p w:rsidR="003A6F6F" w:rsidRDefault="003A6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11306"/>
    <w:rsid w:val="000211B3"/>
    <w:rsid w:val="000234EE"/>
    <w:rsid w:val="00030B85"/>
    <w:rsid w:val="00062ED0"/>
    <w:rsid w:val="00084EDD"/>
    <w:rsid w:val="00095F8F"/>
    <w:rsid w:val="000A3FA3"/>
    <w:rsid w:val="000F5E96"/>
    <w:rsid w:val="00137457"/>
    <w:rsid w:val="001D21EB"/>
    <w:rsid w:val="001D63E5"/>
    <w:rsid w:val="001E1939"/>
    <w:rsid w:val="001F21DB"/>
    <w:rsid w:val="00205E19"/>
    <w:rsid w:val="002168C1"/>
    <w:rsid w:val="002208E3"/>
    <w:rsid w:val="002217EE"/>
    <w:rsid w:val="00233F7F"/>
    <w:rsid w:val="00257C8A"/>
    <w:rsid w:val="00260B5B"/>
    <w:rsid w:val="00282140"/>
    <w:rsid w:val="002A320A"/>
    <w:rsid w:val="002B6FAE"/>
    <w:rsid w:val="002F0816"/>
    <w:rsid w:val="002F3B61"/>
    <w:rsid w:val="00313990"/>
    <w:rsid w:val="00316027"/>
    <w:rsid w:val="003170B9"/>
    <w:rsid w:val="00346C26"/>
    <w:rsid w:val="003529BC"/>
    <w:rsid w:val="003866EA"/>
    <w:rsid w:val="00397BC0"/>
    <w:rsid w:val="003A145C"/>
    <w:rsid w:val="003A6F6F"/>
    <w:rsid w:val="003C5850"/>
    <w:rsid w:val="003E404C"/>
    <w:rsid w:val="003F61D0"/>
    <w:rsid w:val="00417148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69C5"/>
    <w:rsid w:val="004E7754"/>
    <w:rsid w:val="00505DBD"/>
    <w:rsid w:val="005222AB"/>
    <w:rsid w:val="005541C8"/>
    <w:rsid w:val="00562718"/>
    <w:rsid w:val="005717F4"/>
    <w:rsid w:val="005A2381"/>
    <w:rsid w:val="005E517E"/>
    <w:rsid w:val="005E59C5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7057B5"/>
    <w:rsid w:val="007141C0"/>
    <w:rsid w:val="00727015"/>
    <w:rsid w:val="00743E1C"/>
    <w:rsid w:val="0074559D"/>
    <w:rsid w:val="00756689"/>
    <w:rsid w:val="007B4914"/>
    <w:rsid w:val="007E5396"/>
    <w:rsid w:val="007E6C4F"/>
    <w:rsid w:val="007F69C8"/>
    <w:rsid w:val="0082202B"/>
    <w:rsid w:val="00844B47"/>
    <w:rsid w:val="008557FF"/>
    <w:rsid w:val="008B70FB"/>
    <w:rsid w:val="008D13B5"/>
    <w:rsid w:val="009061D7"/>
    <w:rsid w:val="0092189D"/>
    <w:rsid w:val="00936BC5"/>
    <w:rsid w:val="009416FC"/>
    <w:rsid w:val="009633CB"/>
    <w:rsid w:val="00976F5C"/>
    <w:rsid w:val="009D1D73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C0509"/>
    <w:rsid w:val="00AD2DA8"/>
    <w:rsid w:val="00AF23F7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1C45"/>
    <w:rsid w:val="00D641E3"/>
    <w:rsid w:val="00D65919"/>
    <w:rsid w:val="00D75DAF"/>
    <w:rsid w:val="00D95908"/>
    <w:rsid w:val="00DA2F7F"/>
    <w:rsid w:val="00DB55B4"/>
    <w:rsid w:val="00E11D51"/>
    <w:rsid w:val="00E270BD"/>
    <w:rsid w:val="00E32AF0"/>
    <w:rsid w:val="00E42928"/>
    <w:rsid w:val="00E70FDB"/>
    <w:rsid w:val="00E77304"/>
    <w:rsid w:val="00E8550A"/>
    <w:rsid w:val="00ED2246"/>
    <w:rsid w:val="00F01731"/>
    <w:rsid w:val="00F16524"/>
    <w:rsid w:val="00F319DA"/>
    <w:rsid w:val="00F44736"/>
    <w:rsid w:val="00F64A01"/>
    <w:rsid w:val="00F76FF5"/>
    <w:rsid w:val="00F942CC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70B2F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FC840-E21F-488F-9243-B4B5F439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2</cp:revision>
  <cp:lastPrinted>2020-10-06T14:14:00Z</cp:lastPrinted>
  <dcterms:created xsi:type="dcterms:W3CDTF">2020-10-06T14:14:00Z</dcterms:created>
  <dcterms:modified xsi:type="dcterms:W3CDTF">2020-10-06T14:14:00Z</dcterms:modified>
</cp:coreProperties>
</file>