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234EE" w:rsidRDefault="00936BC5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0234EE">
        <w:rPr>
          <w:rFonts w:ascii="Century Gothic" w:hAnsi="Century Gothic"/>
          <w:sz w:val="24"/>
          <w:szCs w:val="24"/>
        </w:rPr>
        <w:t>ALTERA A LEI N.º 3.652, DE 05 DE ABRIL DE 2013, LEI N.º 3.792, DE 14/04/2014 E LEI N.º 4.155, DE 22/12/2017 E DÁ OUTRAS PROVIDÊNCIAS.</w:t>
      </w:r>
    </w:p>
    <w:p w:rsidR="000234EE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>
        <w:rPr>
          <w:rFonts w:ascii="Century Gothic" w:hAnsi="Century Gothic" w:cs="Arial"/>
          <w:sz w:val="28"/>
          <w:szCs w:val="28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Pr="004E69C5" w:rsidRDefault="00936BC5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5E59C5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5E59C5">
        <w:rPr>
          <w:rFonts w:ascii="Century Gothic" w:hAnsi="Century Gothic" w:cs="Arial"/>
          <w:sz w:val="24"/>
          <w:szCs w:val="24"/>
        </w:rPr>
        <w:t xml:space="preserve">do  </w:t>
      </w:r>
      <w:r w:rsidR="004E69C5" w:rsidRPr="00664F59">
        <w:rPr>
          <w:rFonts w:ascii="Segoe UI" w:hAnsi="Segoe UI" w:cs="Segoe UI"/>
          <w:b/>
          <w:bCs/>
          <w:color w:val="212529"/>
        </w:rPr>
        <w:t>PROJETO</w:t>
      </w:r>
      <w:proofErr w:type="gramEnd"/>
      <w:r w:rsidR="004E69C5" w:rsidRPr="00664F59">
        <w:rPr>
          <w:rFonts w:ascii="Segoe UI" w:hAnsi="Segoe UI" w:cs="Segoe UI"/>
          <w:b/>
          <w:bCs/>
          <w:color w:val="212529"/>
        </w:rPr>
        <w:t xml:space="preserve"> DE LEI N.º 024, DE 17/06/2020</w:t>
      </w:r>
      <w:r w:rsidR="004E69C5">
        <w:rPr>
          <w:rFonts w:ascii="Segoe UI" w:hAnsi="Segoe UI" w:cs="Segoe UI"/>
          <w:color w:val="212529"/>
        </w:rPr>
        <w:t xml:space="preserve">. </w:t>
      </w:r>
      <w:r w:rsidR="004E69C5" w:rsidRPr="004E69C5">
        <w:rPr>
          <w:rFonts w:ascii="Century Gothic" w:hAnsi="Century Gothic" w:cs="Segoe UI"/>
          <w:color w:val="212529"/>
          <w:sz w:val="24"/>
          <w:szCs w:val="24"/>
        </w:rPr>
        <w:t>REVOGA AS LEIS MUNICIPAIS N.º 3.551 DE 09.03.2012 E N.º 3.641 DE 26.12.2012, PROMOVE A AFETAÇÃO DE IMÓVEL PÚBLICO E DÁ OUTRAS PROVIDÊNCIAS</w:t>
      </w:r>
      <w:r w:rsidR="004E69C5" w:rsidRPr="004E69C5">
        <w:rPr>
          <w:rFonts w:ascii="Century Gothic" w:eastAsia="Arial" w:hAnsi="Century Gothic" w:cs="Arial"/>
          <w:b/>
          <w:sz w:val="24"/>
          <w:szCs w:val="24"/>
        </w:rPr>
        <w:t xml:space="preserve">, </w:t>
      </w:r>
      <w:r w:rsidR="004E69C5" w:rsidRPr="004E69C5">
        <w:rPr>
          <w:rFonts w:ascii="Century Gothic" w:hAnsi="Century Gothic" w:cs="Arial"/>
          <w:sz w:val="24"/>
          <w:szCs w:val="24"/>
        </w:rPr>
        <w:t>de autoria do Poder Executivo Municipal</w:t>
      </w:r>
      <w:r w:rsidR="004C33BF" w:rsidRPr="004E69C5">
        <w:rPr>
          <w:rFonts w:ascii="Century Gothic" w:hAnsi="Century Gothic"/>
          <w:sz w:val="24"/>
          <w:szCs w:val="24"/>
        </w:rPr>
        <w:t>.</w:t>
      </w:r>
      <w:r w:rsidR="004C33BF" w:rsidRPr="004E69C5">
        <w:rPr>
          <w:rFonts w:ascii="Century Gothic" w:hAnsi="Century Gothic" w:cs="Arial"/>
          <w:sz w:val="24"/>
          <w:szCs w:val="24"/>
        </w:rPr>
        <w:t xml:space="preserve"> O Proponente esclarece</w:t>
      </w:r>
      <w:r w:rsidR="004E69C5" w:rsidRPr="004E69C5">
        <w:rPr>
          <w:rFonts w:ascii="Century Gothic" w:hAnsi="Century Gothic" w:cs="Arial"/>
          <w:sz w:val="24"/>
          <w:szCs w:val="24"/>
        </w:rPr>
        <w:t xml:space="preserve"> </w:t>
      </w:r>
      <w:r w:rsidR="004E69C5" w:rsidRPr="004E69C5">
        <w:rPr>
          <w:rFonts w:ascii="Century Gothic" w:hAnsi="Century Gothic"/>
          <w:sz w:val="24"/>
          <w:szCs w:val="24"/>
        </w:rPr>
        <w:t xml:space="preserve">Após os procedimentos formais de praxe, a Câmara Municipal de Aracruz/ES, por meio da Lei Municipal nº 3.551 de 09.03.2012, posteriormente alterada pela Lei Municipal 3.641 de 26.12.2012 (art. 1º), que </w:t>
      </w:r>
      <w:proofErr w:type="spellStart"/>
      <w:r w:rsidR="004E69C5" w:rsidRPr="004E69C5">
        <w:rPr>
          <w:rFonts w:ascii="Century Gothic" w:hAnsi="Century Gothic"/>
          <w:sz w:val="24"/>
          <w:szCs w:val="24"/>
        </w:rPr>
        <w:t>desafetou</w:t>
      </w:r>
      <w:proofErr w:type="spellEnd"/>
      <w:r w:rsidR="004E69C5" w:rsidRPr="004E69C5">
        <w:rPr>
          <w:rFonts w:ascii="Century Gothic" w:hAnsi="Century Gothic"/>
          <w:sz w:val="24"/>
          <w:szCs w:val="24"/>
        </w:rPr>
        <w:t xml:space="preserve"> da destinação do bem de uso comum do povo da área pública de imóvel inscrito sob Matrícula nº 4.219, de fls. 019 e 019-A do Livro 02 do Cartório de Registro de Imóveis de Aracruz, totalizando área de 2.9483ha, que deixou de integrar bens dominicais do Município de Aracruz/ES para que possa integrar bens dominicais da União, visando à incorporação e ampliação da Unidade de Conservação - UC federal da Área de Proteção Ambiental - APA Costa das Algas, assim como à instalação da sede desta e da sede do Refúgio da Vida silvestre - RVS Santa Cruz. A Lei Municipal nº 3.551 de 09.03.2012, posteriormente foi alterada pela Lei Municipal nº 3.641 de 26.12.2012, também autorizou o Poder Executivo Municipal a doar o bem público municipal, para fins de implantação e funcionamento das sedes administrativas da APA Costa das Algas e RVS Santa Cruz, assim como disponibilizar edificações para o funcionamento do Parque Natural Municipal (PNM) David Farina, a serem realizadas no prazo de 02 (dois) anos</w:t>
      </w:r>
      <w:r w:rsidR="00E8550A" w:rsidRPr="004E69C5">
        <w:rPr>
          <w:rFonts w:ascii="Century Gothic" w:hAnsi="Century Gothic" w:cs="Arial"/>
          <w:b/>
          <w:sz w:val="24"/>
          <w:szCs w:val="24"/>
        </w:rPr>
        <w:t>.</w:t>
      </w:r>
      <w:r w:rsidR="004E69C5" w:rsidRPr="004E69C5">
        <w:rPr>
          <w:rFonts w:ascii="Century Gothic" w:hAnsi="Century Gothic" w:cs="Arial"/>
          <w:b/>
          <w:sz w:val="24"/>
          <w:szCs w:val="24"/>
        </w:rPr>
        <w:t xml:space="preserve"> </w:t>
      </w:r>
      <w:r w:rsidRPr="004E69C5">
        <w:rPr>
          <w:rFonts w:ascii="Century Gothic" w:hAnsi="Century Gothic" w:cs="Arial"/>
          <w:sz w:val="24"/>
          <w:szCs w:val="24"/>
        </w:rPr>
        <w:t>É o que importa relatar</w:t>
      </w:r>
    </w:p>
    <w:p w:rsidR="00936BC5" w:rsidRPr="004E69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4E69C5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não contemplou viciosidade constitucional que </w:t>
      </w:r>
      <w:r w:rsidR="004C33BF" w:rsidRPr="004E69C5">
        <w:rPr>
          <w:rFonts w:ascii="Century Gothic" w:hAnsi="Century Gothic" w:cs="Arial"/>
          <w:sz w:val="24"/>
          <w:szCs w:val="24"/>
        </w:rPr>
        <w:t>obstasse</w:t>
      </w:r>
      <w:r w:rsidRPr="004E69C5">
        <w:rPr>
          <w:rFonts w:ascii="Century Gothic" w:hAnsi="Century Gothic" w:cs="Arial"/>
          <w:sz w:val="24"/>
          <w:szCs w:val="24"/>
        </w:rPr>
        <w:t xml:space="preserve"> a tramitação do mesmo, nos termos do parecer</w:t>
      </w:r>
      <w:r w:rsidR="00E8550A" w:rsidRPr="004E69C5">
        <w:rPr>
          <w:rFonts w:ascii="Century Gothic" w:hAnsi="Century Gothic" w:cs="Arial"/>
          <w:sz w:val="24"/>
          <w:szCs w:val="24"/>
        </w:rPr>
        <w:t xml:space="preserve"> opinativo</w:t>
      </w:r>
      <w:r w:rsidRPr="004E69C5">
        <w:rPr>
          <w:rFonts w:ascii="Century Gothic" w:hAnsi="Century Gothic" w:cs="Arial"/>
          <w:sz w:val="24"/>
          <w:szCs w:val="24"/>
        </w:rPr>
        <w:t xml:space="preserve"> de fls.</w:t>
      </w:r>
      <w:r w:rsidR="004E69C5" w:rsidRPr="004E69C5">
        <w:rPr>
          <w:rFonts w:ascii="Century Gothic" w:hAnsi="Century Gothic" w:cs="Arial"/>
          <w:sz w:val="24"/>
          <w:szCs w:val="24"/>
        </w:rPr>
        <w:t>13</w:t>
      </w:r>
      <w:r w:rsidRPr="004E69C5">
        <w:rPr>
          <w:rFonts w:ascii="Century Gothic" w:hAnsi="Century Gothic" w:cs="Arial"/>
          <w:sz w:val="24"/>
          <w:szCs w:val="24"/>
        </w:rPr>
        <w:t>/</w:t>
      </w:r>
      <w:r w:rsidR="004E69C5" w:rsidRPr="004E69C5">
        <w:rPr>
          <w:rFonts w:ascii="Century Gothic" w:hAnsi="Century Gothic" w:cs="Arial"/>
          <w:sz w:val="24"/>
          <w:szCs w:val="24"/>
        </w:rPr>
        <w:t>19</w:t>
      </w:r>
      <w:r w:rsidRPr="004E69C5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Pr="00A9360B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lastRenderedPageBreak/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4E69C5">
        <w:rPr>
          <w:rFonts w:ascii="Century Gothic" w:hAnsi="Century Gothic" w:cs="Arial"/>
          <w:sz w:val="24"/>
          <w:szCs w:val="24"/>
        </w:rPr>
        <w:t>24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ED2246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8550A">
        <w:rPr>
          <w:rFonts w:ascii="Century Gothic" w:hAnsi="Century Gothic" w:cs="Arial"/>
          <w:sz w:val="24"/>
          <w:szCs w:val="24"/>
        </w:rPr>
        <w:t>Executivo Municipal,</w:t>
      </w:r>
      <w:r w:rsidR="00E8550A" w:rsidRPr="00E8550A">
        <w:rPr>
          <w:rFonts w:ascii="Century Gothic" w:hAnsi="Century Gothic" w:cs="Arial"/>
          <w:sz w:val="24"/>
          <w:szCs w:val="24"/>
        </w:rPr>
        <w:t xml:space="preserve"> </w:t>
      </w:r>
      <w:r w:rsidR="00E8550A">
        <w:rPr>
          <w:rFonts w:ascii="Century Gothic" w:hAnsi="Century Gothic" w:cs="Arial"/>
          <w:sz w:val="24"/>
          <w:szCs w:val="24"/>
        </w:rPr>
        <w:t>com emenda</w:t>
      </w:r>
      <w:r w:rsidR="00E8550A" w:rsidRPr="00A9360B">
        <w:rPr>
          <w:rFonts w:ascii="Century Gothic" w:hAnsi="Century Gothic" w:cs="Arial"/>
          <w:sz w:val="24"/>
          <w:szCs w:val="24"/>
        </w:rPr>
        <w:t>, em</w:t>
      </w:r>
      <w:r w:rsidRPr="00A9360B">
        <w:rPr>
          <w:rFonts w:ascii="Century Gothic" w:hAnsi="Century Gothic" w:cs="Arial"/>
          <w:sz w:val="24"/>
          <w:szCs w:val="24"/>
        </w:rPr>
        <w:t xml:space="preserve">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 de fls.</w:t>
      </w:r>
      <w:r w:rsidR="004E69C5">
        <w:rPr>
          <w:rFonts w:ascii="Century Gothic" w:hAnsi="Century Gothic" w:cs="Arial"/>
          <w:sz w:val="24"/>
          <w:szCs w:val="24"/>
        </w:rPr>
        <w:t>13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ED2246">
        <w:rPr>
          <w:rFonts w:ascii="Century Gothic" w:hAnsi="Century Gothic" w:cs="Arial"/>
          <w:sz w:val="24"/>
          <w:szCs w:val="24"/>
        </w:rPr>
        <w:t>1</w:t>
      </w:r>
      <w:r w:rsidR="004E69C5">
        <w:rPr>
          <w:rFonts w:ascii="Century Gothic" w:hAnsi="Century Gothic" w:cs="Arial"/>
          <w:sz w:val="24"/>
          <w:szCs w:val="24"/>
        </w:rPr>
        <w:t>9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4E69C5">
        <w:rPr>
          <w:rFonts w:ascii="Century Gothic" w:hAnsi="Century Gothic" w:cs="Arial"/>
          <w:sz w:val="24"/>
          <w:szCs w:val="24"/>
        </w:rPr>
        <w:t>21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4E69C5">
        <w:rPr>
          <w:rFonts w:ascii="Century Gothic" w:hAnsi="Century Gothic" w:cs="Arial"/>
          <w:sz w:val="24"/>
          <w:szCs w:val="24"/>
        </w:rPr>
        <w:t>julho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8550A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4E69C5" w:rsidRDefault="004E69C5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4E69C5" w:rsidRPr="00ED2246" w:rsidRDefault="004E69C5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908" w:rsidRDefault="00D95908">
      <w:r>
        <w:separator/>
      </w:r>
    </w:p>
  </w:endnote>
  <w:endnote w:type="continuationSeparator" w:id="0">
    <w:p w:rsidR="00D95908" w:rsidRDefault="00D9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908" w:rsidRDefault="00D95908">
      <w:r>
        <w:separator/>
      </w:r>
    </w:p>
  </w:footnote>
  <w:footnote w:type="continuationSeparator" w:id="0">
    <w:p w:rsidR="00D95908" w:rsidRDefault="00D9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234EE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33F7F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69C5"/>
    <w:rsid w:val="004E7754"/>
    <w:rsid w:val="00505DBD"/>
    <w:rsid w:val="005222AB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C0509"/>
    <w:rsid w:val="00AD2DA8"/>
    <w:rsid w:val="00AF23F7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95908"/>
    <w:rsid w:val="00DA2F7F"/>
    <w:rsid w:val="00DB55B4"/>
    <w:rsid w:val="00E11D51"/>
    <w:rsid w:val="00E270BD"/>
    <w:rsid w:val="00E32AF0"/>
    <w:rsid w:val="00E42928"/>
    <w:rsid w:val="00E70FDB"/>
    <w:rsid w:val="00E77304"/>
    <w:rsid w:val="00E8550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9C538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F817-C33A-4954-8D54-FD2138C8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2020-07-21T17:34:00Z</cp:lastPrinted>
  <dcterms:created xsi:type="dcterms:W3CDTF">2020-07-21T17:34:00Z</dcterms:created>
  <dcterms:modified xsi:type="dcterms:W3CDTF">2020-07-21T17:34:00Z</dcterms:modified>
</cp:coreProperties>
</file>