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F5C" w:rsidRDefault="00976F5C" w:rsidP="00ED2246">
      <w:pPr>
        <w:rPr>
          <w:b/>
        </w:rPr>
      </w:pPr>
    </w:p>
    <w:p w:rsidR="00976F5C" w:rsidRPr="00A9360B" w:rsidRDefault="00976F5C" w:rsidP="00976F5C">
      <w:pPr>
        <w:ind w:left="567"/>
        <w:jc w:val="center"/>
        <w:rPr>
          <w:rFonts w:ascii="Century Gothic" w:hAnsi="Century Gothic" w:cs="Arial"/>
          <w:b/>
          <w:sz w:val="28"/>
          <w:szCs w:val="28"/>
          <w:u w:val="single"/>
        </w:rPr>
      </w:pPr>
      <w:r w:rsidRPr="00A9360B">
        <w:rPr>
          <w:rFonts w:ascii="Century Gothic" w:hAnsi="Century Gothic" w:cs="Arial"/>
          <w:b/>
          <w:sz w:val="28"/>
          <w:szCs w:val="28"/>
          <w:u w:val="single"/>
        </w:rPr>
        <w:t xml:space="preserve"> COMISSÃO DE</w:t>
      </w:r>
      <w:r w:rsidR="005E517E" w:rsidRPr="00A9360B">
        <w:rPr>
          <w:rFonts w:ascii="Century Gothic" w:hAnsi="Century Gothic" w:cs="Arial"/>
          <w:b/>
          <w:sz w:val="28"/>
          <w:szCs w:val="28"/>
          <w:u w:val="single"/>
        </w:rPr>
        <w:t xml:space="preserve"> CONSTITUIÇÃO, LEGISLAÇÃO, JUSTIÇA E REDAÇÃO.</w:t>
      </w:r>
    </w:p>
    <w:p w:rsidR="00976F5C" w:rsidRPr="00A9360B" w:rsidRDefault="00976F5C" w:rsidP="00844B47">
      <w:pPr>
        <w:ind w:left="567"/>
        <w:rPr>
          <w:rFonts w:ascii="Century Gothic" w:hAnsi="Century Gothic"/>
          <w:b/>
        </w:rPr>
      </w:pPr>
    </w:p>
    <w:p w:rsidR="00AD2DA8" w:rsidRDefault="00CE7564" w:rsidP="00ED2246">
      <w:pPr>
        <w:ind w:left="567"/>
        <w:jc w:val="center"/>
        <w:rPr>
          <w:rFonts w:ascii="Century Gothic" w:hAnsi="Century Gothic"/>
          <w:b/>
          <w:sz w:val="28"/>
          <w:szCs w:val="28"/>
        </w:rPr>
      </w:pPr>
      <w:r w:rsidRPr="00A9360B">
        <w:rPr>
          <w:rFonts w:ascii="Century Gothic" w:hAnsi="Century Gothic"/>
          <w:b/>
          <w:sz w:val="28"/>
          <w:szCs w:val="28"/>
        </w:rPr>
        <w:t>PARECER</w:t>
      </w:r>
    </w:p>
    <w:p w:rsidR="00ED2246" w:rsidRPr="00ED2246" w:rsidRDefault="00ED2246" w:rsidP="00ED2246">
      <w:pPr>
        <w:ind w:left="567"/>
        <w:jc w:val="center"/>
        <w:rPr>
          <w:rFonts w:ascii="Century Gothic" w:hAnsi="Century Gothic"/>
          <w:b/>
          <w:sz w:val="28"/>
          <w:szCs w:val="28"/>
        </w:rPr>
      </w:pPr>
    </w:p>
    <w:p w:rsidR="000234EE" w:rsidRPr="008C2F8F" w:rsidRDefault="00936BC5" w:rsidP="000234EE">
      <w:pPr>
        <w:ind w:left="567"/>
        <w:jc w:val="both"/>
        <w:rPr>
          <w:rFonts w:ascii="Century Gothic" w:hAnsi="Century Gothic"/>
          <w:sz w:val="24"/>
          <w:szCs w:val="24"/>
        </w:rPr>
      </w:pPr>
      <w:r w:rsidRPr="00A9360B">
        <w:rPr>
          <w:rFonts w:ascii="Century Gothic" w:hAnsi="Century Gothic" w:cs="Arial"/>
          <w:b/>
          <w:sz w:val="24"/>
          <w:szCs w:val="24"/>
        </w:rPr>
        <w:t xml:space="preserve">PROPOSIÇÃO: </w:t>
      </w:r>
      <w:r w:rsidR="008C2F8F" w:rsidRPr="008C2F8F">
        <w:rPr>
          <w:rFonts w:ascii="Century Gothic" w:hAnsi="Century Gothic"/>
          <w:sz w:val="24"/>
          <w:szCs w:val="24"/>
        </w:rPr>
        <w:t>SUBSTITUTIVO AO PROJETO DE LEI Nº 054, DE 27/11/2018. CRIA O IPTU SOCIAL E APROVA A PLANTA GENÉRICA DE VALORES, NO ÂMBITO DO MUNICÍPIO DE ARACRUZ E DÁ OUTRAS PROVIDÊNCIAS.</w:t>
      </w:r>
    </w:p>
    <w:p w:rsidR="008C2F8F" w:rsidRPr="008C2F8F" w:rsidRDefault="008C2F8F" w:rsidP="000234EE">
      <w:pPr>
        <w:ind w:left="567"/>
        <w:jc w:val="both"/>
        <w:rPr>
          <w:rFonts w:ascii="Century Gothic" w:hAnsi="Century Gothic" w:cs="Arial"/>
          <w:b/>
          <w:sz w:val="24"/>
          <w:szCs w:val="24"/>
        </w:rPr>
      </w:pPr>
    </w:p>
    <w:p w:rsidR="00936BC5" w:rsidRPr="00A9360B" w:rsidRDefault="00936BC5" w:rsidP="000234EE">
      <w:pPr>
        <w:ind w:left="567"/>
        <w:jc w:val="both"/>
        <w:rPr>
          <w:rFonts w:ascii="Century Gothic" w:hAnsi="Century Gothic" w:cs="Arial"/>
          <w:b/>
          <w:sz w:val="24"/>
          <w:szCs w:val="24"/>
        </w:rPr>
      </w:pPr>
      <w:r w:rsidRPr="00A9360B">
        <w:rPr>
          <w:rFonts w:ascii="Century Gothic" w:hAnsi="Century Gothic" w:cs="Arial"/>
          <w:b/>
          <w:sz w:val="24"/>
          <w:szCs w:val="24"/>
        </w:rPr>
        <w:t xml:space="preserve">AUTOR: </w:t>
      </w:r>
      <w:r w:rsidR="00E8550A">
        <w:rPr>
          <w:rFonts w:ascii="Century Gothic" w:hAnsi="Century Gothic" w:cs="Arial"/>
          <w:sz w:val="28"/>
          <w:szCs w:val="28"/>
        </w:rPr>
        <w:t>Executivo Municipal</w:t>
      </w:r>
    </w:p>
    <w:p w:rsidR="00936BC5" w:rsidRPr="00A9360B" w:rsidRDefault="00936BC5" w:rsidP="00936BC5">
      <w:pPr>
        <w:ind w:left="567"/>
        <w:rPr>
          <w:rFonts w:ascii="Century Gothic" w:hAnsi="Century Gothic" w:cs="Arial"/>
          <w:b/>
          <w:sz w:val="24"/>
          <w:szCs w:val="24"/>
        </w:rPr>
      </w:pPr>
      <w:r w:rsidRPr="00A9360B">
        <w:rPr>
          <w:rFonts w:ascii="Century Gothic" w:hAnsi="Century Gothic" w:cs="Arial"/>
          <w:b/>
          <w:sz w:val="24"/>
          <w:szCs w:val="24"/>
        </w:rPr>
        <w:t>RELATOR</w:t>
      </w:r>
      <w:r w:rsidRPr="00A9360B">
        <w:rPr>
          <w:rFonts w:ascii="Century Gothic" w:hAnsi="Century Gothic" w:cs="Arial"/>
          <w:sz w:val="28"/>
          <w:szCs w:val="28"/>
        </w:rPr>
        <w:t>: José Gomes dos Santos</w:t>
      </w:r>
    </w:p>
    <w:p w:rsidR="00936BC5" w:rsidRPr="00A9360B" w:rsidRDefault="00936BC5" w:rsidP="00936BC5">
      <w:pPr>
        <w:ind w:left="567"/>
        <w:rPr>
          <w:rFonts w:ascii="Century Gothic" w:hAnsi="Century Gothic"/>
          <w:b/>
          <w:sz w:val="24"/>
          <w:szCs w:val="24"/>
        </w:rPr>
      </w:pPr>
    </w:p>
    <w:p w:rsidR="00936BC5" w:rsidRPr="00A9360B" w:rsidRDefault="00936BC5" w:rsidP="00936BC5">
      <w:pPr>
        <w:ind w:left="567"/>
        <w:rPr>
          <w:rFonts w:ascii="Century Gothic" w:hAnsi="Century Gothic" w:cs="Arial"/>
          <w:b/>
          <w:sz w:val="28"/>
          <w:szCs w:val="28"/>
        </w:rPr>
      </w:pPr>
      <w:r w:rsidRPr="00A9360B">
        <w:rPr>
          <w:rFonts w:ascii="Century Gothic" w:hAnsi="Century Gothic" w:cs="Arial"/>
          <w:b/>
          <w:sz w:val="28"/>
          <w:szCs w:val="28"/>
        </w:rPr>
        <w:t>PELA CONSTITUCIONALIDADE</w:t>
      </w:r>
    </w:p>
    <w:p w:rsidR="00936BC5" w:rsidRPr="00A9360B" w:rsidRDefault="00936BC5" w:rsidP="00ED2246">
      <w:pPr>
        <w:rPr>
          <w:rFonts w:ascii="Century Gothic" w:hAnsi="Century Gothic"/>
          <w:b/>
          <w:sz w:val="24"/>
          <w:szCs w:val="24"/>
        </w:rPr>
      </w:pPr>
    </w:p>
    <w:p w:rsidR="00936BC5" w:rsidRPr="00A9360B" w:rsidRDefault="00936BC5" w:rsidP="00936BC5">
      <w:pPr>
        <w:ind w:left="567"/>
        <w:rPr>
          <w:rFonts w:ascii="Century Gothic" w:hAnsi="Century Gothic" w:cs="Arial"/>
          <w:b/>
          <w:sz w:val="24"/>
          <w:szCs w:val="24"/>
        </w:rPr>
      </w:pPr>
      <w:r w:rsidRPr="00A9360B">
        <w:rPr>
          <w:rFonts w:ascii="Century Gothic" w:hAnsi="Century Gothic"/>
          <w:b/>
          <w:sz w:val="24"/>
          <w:szCs w:val="24"/>
        </w:rPr>
        <w:t xml:space="preserve"> 1 -</w:t>
      </w:r>
      <w:r w:rsidRPr="00A9360B">
        <w:rPr>
          <w:rFonts w:ascii="Century Gothic" w:hAnsi="Century Gothic" w:cs="Arial"/>
          <w:b/>
          <w:sz w:val="24"/>
          <w:szCs w:val="24"/>
        </w:rPr>
        <w:t>RELATÓRIO</w:t>
      </w:r>
    </w:p>
    <w:p w:rsidR="00936BC5" w:rsidRPr="00A9360B" w:rsidRDefault="00936BC5" w:rsidP="00936BC5">
      <w:pPr>
        <w:rPr>
          <w:rFonts w:ascii="Century Gothic" w:hAnsi="Century Gothic"/>
          <w:b/>
          <w:sz w:val="24"/>
          <w:szCs w:val="24"/>
        </w:rPr>
      </w:pPr>
    </w:p>
    <w:p w:rsidR="00936BC5" w:rsidRDefault="00936BC5" w:rsidP="008C2F8F">
      <w:pPr>
        <w:ind w:left="567"/>
        <w:jc w:val="both"/>
        <w:rPr>
          <w:rFonts w:ascii="Century Gothic" w:hAnsi="Century Gothic" w:cs="Arial"/>
          <w:sz w:val="24"/>
          <w:szCs w:val="24"/>
        </w:rPr>
      </w:pPr>
      <w:r w:rsidRPr="005E59C5">
        <w:rPr>
          <w:rFonts w:ascii="Century Gothic" w:hAnsi="Century Gothic" w:cs="Arial"/>
          <w:sz w:val="24"/>
          <w:szCs w:val="24"/>
        </w:rPr>
        <w:t xml:space="preserve">Trata-se </w:t>
      </w:r>
      <w:proofErr w:type="gramStart"/>
      <w:r w:rsidRPr="005E59C5">
        <w:rPr>
          <w:rFonts w:ascii="Century Gothic" w:hAnsi="Century Gothic" w:cs="Arial"/>
          <w:sz w:val="24"/>
          <w:szCs w:val="24"/>
        </w:rPr>
        <w:t xml:space="preserve">do  </w:t>
      </w:r>
      <w:r w:rsidR="004E69C5" w:rsidRPr="00664F59">
        <w:rPr>
          <w:rFonts w:ascii="Segoe UI" w:hAnsi="Segoe UI" w:cs="Segoe UI"/>
          <w:b/>
          <w:bCs/>
          <w:color w:val="212529"/>
        </w:rPr>
        <w:t>PROJETO</w:t>
      </w:r>
      <w:proofErr w:type="gramEnd"/>
      <w:r w:rsidR="004E69C5" w:rsidRPr="00664F59">
        <w:rPr>
          <w:rFonts w:ascii="Segoe UI" w:hAnsi="Segoe UI" w:cs="Segoe UI"/>
          <w:b/>
          <w:bCs/>
          <w:color w:val="212529"/>
        </w:rPr>
        <w:t xml:space="preserve"> DE LEI N.º 0</w:t>
      </w:r>
      <w:r w:rsidR="008C2F8F">
        <w:rPr>
          <w:rFonts w:ascii="Segoe UI" w:hAnsi="Segoe UI" w:cs="Segoe UI"/>
          <w:b/>
          <w:bCs/>
          <w:color w:val="212529"/>
        </w:rPr>
        <w:t>54</w:t>
      </w:r>
      <w:r w:rsidR="004E69C5" w:rsidRPr="00664F59">
        <w:rPr>
          <w:rFonts w:ascii="Segoe UI" w:hAnsi="Segoe UI" w:cs="Segoe UI"/>
          <w:b/>
          <w:bCs/>
          <w:color w:val="212529"/>
        </w:rPr>
        <w:t xml:space="preserve">, DE </w:t>
      </w:r>
      <w:r w:rsidR="008C2F8F">
        <w:rPr>
          <w:rFonts w:ascii="Segoe UI" w:hAnsi="Segoe UI" w:cs="Segoe UI"/>
          <w:b/>
          <w:bCs/>
          <w:color w:val="212529"/>
        </w:rPr>
        <w:t>27</w:t>
      </w:r>
      <w:r w:rsidR="004E69C5" w:rsidRPr="00664F59">
        <w:rPr>
          <w:rFonts w:ascii="Segoe UI" w:hAnsi="Segoe UI" w:cs="Segoe UI"/>
          <w:b/>
          <w:bCs/>
          <w:color w:val="212529"/>
        </w:rPr>
        <w:t>/</w:t>
      </w:r>
      <w:r w:rsidR="008C2F8F">
        <w:rPr>
          <w:rFonts w:ascii="Segoe UI" w:hAnsi="Segoe UI" w:cs="Segoe UI"/>
          <w:b/>
          <w:bCs/>
          <w:color w:val="212529"/>
        </w:rPr>
        <w:t>11</w:t>
      </w:r>
      <w:r w:rsidR="004E69C5" w:rsidRPr="00664F59">
        <w:rPr>
          <w:rFonts w:ascii="Segoe UI" w:hAnsi="Segoe UI" w:cs="Segoe UI"/>
          <w:b/>
          <w:bCs/>
          <w:color w:val="212529"/>
        </w:rPr>
        <w:t>/20</w:t>
      </w:r>
      <w:r w:rsidR="008C2F8F">
        <w:rPr>
          <w:rFonts w:ascii="Segoe UI" w:hAnsi="Segoe UI" w:cs="Segoe UI"/>
          <w:b/>
          <w:bCs/>
          <w:color w:val="212529"/>
        </w:rPr>
        <w:t>18</w:t>
      </w:r>
      <w:r w:rsidR="004E69C5">
        <w:rPr>
          <w:rFonts w:ascii="Segoe UI" w:hAnsi="Segoe UI" w:cs="Segoe UI"/>
          <w:color w:val="212529"/>
        </w:rPr>
        <w:t xml:space="preserve">. </w:t>
      </w:r>
      <w:r w:rsidR="008C2F8F" w:rsidRPr="008C2F8F">
        <w:rPr>
          <w:rFonts w:ascii="Century Gothic" w:hAnsi="Century Gothic"/>
          <w:sz w:val="24"/>
          <w:szCs w:val="24"/>
        </w:rPr>
        <w:t>CRIA O IPTU SOCIAL E APROVA A PLANTA GENÉRICA DE VALORES, NO ÂMBITO DO MUNICÍPIO DE ARACRUZ E DÁ OUTRAS PROVIDÊNCIAS</w:t>
      </w:r>
      <w:r w:rsidR="004E69C5" w:rsidRPr="004E69C5">
        <w:rPr>
          <w:rFonts w:ascii="Century Gothic" w:eastAsia="Arial" w:hAnsi="Century Gothic" w:cs="Arial"/>
          <w:b/>
          <w:sz w:val="24"/>
          <w:szCs w:val="24"/>
        </w:rPr>
        <w:t xml:space="preserve">, </w:t>
      </w:r>
      <w:r w:rsidR="004E69C5" w:rsidRPr="004E69C5">
        <w:rPr>
          <w:rFonts w:ascii="Century Gothic" w:hAnsi="Century Gothic" w:cs="Arial"/>
          <w:sz w:val="24"/>
          <w:szCs w:val="24"/>
        </w:rPr>
        <w:t>de autoria do Poder Executivo Municipal</w:t>
      </w:r>
      <w:r w:rsidR="004C33BF" w:rsidRPr="004E69C5">
        <w:rPr>
          <w:rFonts w:ascii="Century Gothic" w:hAnsi="Century Gothic"/>
          <w:sz w:val="24"/>
          <w:szCs w:val="24"/>
        </w:rPr>
        <w:t>.</w:t>
      </w:r>
      <w:r w:rsidR="004C33BF" w:rsidRPr="004E69C5">
        <w:rPr>
          <w:rFonts w:ascii="Century Gothic" w:hAnsi="Century Gothic" w:cs="Arial"/>
          <w:sz w:val="24"/>
          <w:szCs w:val="24"/>
        </w:rPr>
        <w:t xml:space="preserve"> O Proponente esclarece</w:t>
      </w:r>
      <w:r w:rsidR="004E69C5" w:rsidRPr="004E69C5">
        <w:rPr>
          <w:rFonts w:ascii="Century Gothic" w:hAnsi="Century Gothic" w:cs="Arial"/>
          <w:sz w:val="24"/>
          <w:szCs w:val="24"/>
        </w:rPr>
        <w:t xml:space="preserve"> </w:t>
      </w:r>
      <w:r w:rsidR="008C2F8F" w:rsidRPr="008C2F8F">
        <w:rPr>
          <w:rFonts w:ascii="Century Gothic" w:hAnsi="Century Gothic"/>
          <w:sz w:val="24"/>
          <w:szCs w:val="24"/>
        </w:rPr>
        <w:t>que diz respeito à Planta Genérica de Valores, o Projeto em apresentação cumpre determinação do artigo 80 do Código Tributário Municipal, atualizando o valor real dos imóveis localizados no Município de Aracruz. Tal obrigação é imposta ao Governo Municipal, sob pena de incorrer em crime fiscal, por renúncia de receita, no caso de não observância. Considerando o longo período que o Município passou sem atualização da PGV, e visando diminuir o impacto que a correção pode gerar para os contribuintes, este Projeto de Lei concede 45% (quarenta e cinco por cento) de desconto no valor do Imposto Predial e Territorial Urbano – IPTU, no exercício seguinte, promovendo assim justiça fiscal e social. Esta redução no desconto, quando comparada à PGV em vigor, atende orientações do Tribunal de Contas do Estado do Espírito Santo, que durante auditoria realizada no ano de 2016, conforme Processo de Auditoria Externa nº 03000/2016, em seu Item 2.2.7 propôs que fosse enviado a essa Casa de Leis projeto de lei específico visando a redução do desconto de 50% (cinquenta por cento) na base de cálculo do IPTU de forma graduada para os próximos anos. Além do que, os contribuintes que optarem pelo pagamento do imposto em cota única, terão o desconto de mais 10% (dez por cento)</w:t>
      </w:r>
      <w:r w:rsidR="00E8550A" w:rsidRPr="008C2F8F">
        <w:rPr>
          <w:rFonts w:ascii="Century Gothic" w:hAnsi="Century Gothic" w:cs="Arial"/>
          <w:b/>
          <w:sz w:val="24"/>
          <w:szCs w:val="24"/>
        </w:rPr>
        <w:t>.</w:t>
      </w:r>
      <w:r w:rsidR="004E69C5" w:rsidRPr="004E69C5">
        <w:rPr>
          <w:rFonts w:ascii="Century Gothic" w:hAnsi="Century Gothic" w:cs="Arial"/>
          <w:b/>
          <w:sz w:val="24"/>
          <w:szCs w:val="24"/>
        </w:rPr>
        <w:t xml:space="preserve"> </w:t>
      </w:r>
      <w:r w:rsidRPr="004E69C5">
        <w:rPr>
          <w:rFonts w:ascii="Century Gothic" w:hAnsi="Century Gothic" w:cs="Arial"/>
          <w:sz w:val="24"/>
          <w:szCs w:val="24"/>
        </w:rPr>
        <w:t>É o que importa relatar</w:t>
      </w:r>
    </w:p>
    <w:p w:rsidR="008C2F8F" w:rsidRPr="008C2F8F" w:rsidRDefault="008C2F8F" w:rsidP="008C2F8F">
      <w:pPr>
        <w:ind w:left="567"/>
        <w:jc w:val="both"/>
        <w:rPr>
          <w:rFonts w:ascii="Century Gothic" w:hAnsi="Century Gothic"/>
          <w:sz w:val="24"/>
          <w:szCs w:val="24"/>
        </w:rPr>
      </w:pPr>
    </w:p>
    <w:p w:rsidR="00936BC5" w:rsidRPr="004E69C5" w:rsidRDefault="00936BC5" w:rsidP="00936BC5">
      <w:pPr>
        <w:ind w:left="567"/>
        <w:jc w:val="both"/>
        <w:rPr>
          <w:rFonts w:ascii="Century Gothic" w:hAnsi="Century Gothic" w:cs="Arial"/>
          <w:sz w:val="24"/>
          <w:szCs w:val="24"/>
        </w:rPr>
      </w:pPr>
      <w:r w:rsidRPr="004E69C5">
        <w:rPr>
          <w:rFonts w:ascii="Century Gothic" w:hAnsi="Century Gothic" w:cs="Arial"/>
          <w:sz w:val="24"/>
          <w:szCs w:val="24"/>
        </w:rPr>
        <w:t xml:space="preserve">A douta Procuradoria desta casa analisou o teor da presente proposta, entendeu que a matéria constante no bojo do Projeto de Lei não contemplou viciosidade constitucional que </w:t>
      </w:r>
      <w:r w:rsidR="004C33BF" w:rsidRPr="004E69C5">
        <w:rPr>
          <w:rFonts w:ascii="Century Gothic" w:hAnsi="Century Gothic" w:cs="Arial"/>
          <w:sz w:val="24"/>
          <w:szCs w:val="24"/>
        </w:rPr>
        <w:t>obstasse</w:t>
      </w:r>
      <w:r w:rsidRPr="004E69C5">
        <w:rPr>
          <w:rFonts w:ascii="Century Gothic" w:hAnsi="Century Gothic" w:cs="Arial"/>
          <w:sz w:val="24"/>
          <w:szCs w:val="24"/>
        </w:rPr>
        <w:t xml:space="preserve"> a tramitação do mesmo, nos termos do parecer</w:t>
      </w:r>
      <w:r w:rsidR="00E8550A" w:rsidRPr="004E69C5">
        <w:rPr>
          <w:rFonts w:ascii="Century Gothic" w:hAnsi="Century Gothic" w:cs="Arial"/>
          <w:sz w:val="24"/>
          <w:szCs w:val="24"/>
        </w:rPr>
        <w:t xml:space="preserve"> opinativo</w:t>
      </w:r>
      <w:r w:rsidRPr="004E69C5">
        <w:rPr>
          <w:rFonts w:ascii="Century Gothic" w:hAnsi="Century Gothic" w:cs="Arial"/>
          <w:sz w:val="24"/>
          <w:szCs w:val="24"/>
        </w:rPr>
        <w:t xml:space="preserve"> de fls.</w:t>
      </w:r>
      <w:r w:rsidR="008C2F8F">
        <w:rPr>
          <w:rFonts w:ascii="Century Gothic" w:hAnsi="Century Gothic" w:cs="Arial"/>
          <w:sz w:val="24"/>
          <w:szCs w:val="24"/>
        </w:rPr>
        <w:t>79/87</w:t>
      </w:r>
      <w:r w:rsidRPr="004E69C5">
        <w:rPr>
          <w:rFonts w:ascii="Century Gothic" w:hAnsi="Century Gothic" w:cs="Arial"/>
          <w:sz w:val="24"/>
          <w:szCs w:val="24"/>
        </w:rPr>
        <w:t>.</w:t>
      </w:r>
    </w:p>
    <w:p w:rsidR="00936BC5" w:rsidRPr="00A9360B" w:rsidRDefault="00936BC5" w:rsidP="00936BC5">
      <w:pPr>
        <w:ind w:left="567"/>
        <w:jc w:val="both"/>
        <w:rPr>
          <w:rFonts w:ascii="Century Gothic" w:hAnsi="Century Gothic" w:cs="Arial"/>
          <w:sz w:val="24"/>
          <w:szCs w:val="24"/>
        </w:rPr>
      </w:pPr>
    </w:p>
    <w:p w:rsidR="004E69C5" w:rsidRDefault="004E69C5" w:rsidP="00936BC5">
      <w:pPr>
        <w:ind w:left="567"/>
        <w:jc w:val="both"/>
        <w:rPr>
          <w:rFonts w:ascii="Century Gothic" w:hAnsi="Century Gothic" w:cs="Arial"/>
          <w:sz w:val="24"/>
          <w:szCs w:val="24"/>
        </w:rPr>
      </w:pPr>
    </w:p>
    <w:p w:rsidR="004E69C5" w:rsidRDefault="004E69C5" w:rsidP="00936BC5">
      <w:pPr>
        <w:ind w:left="567"/>
        <w:jc w:val="both"/>
        <w:rPr>
          <w:rFonts w:ascii="Century Gothic" w:hAnsi="Century Gothic" w:cs="Arial"/>
          <w:sz w:val="24"/>
          <w:szCs w:val="24"/>
        </w:rPr>
      </w:pPr>
    </w:p>
    <w:p w:rsidR="004E69C5" w:rsidRDefault="004E69C5" w:rsidP="00936BC5">
      <w:pPr>
        <w:ind w:left="567"/>
        <w:jc w:val="both"/>
        <w:rPr>
          <w:rFonts w:ascii="Century Gothic" w:hAnsi="Century Gothic" w:cs="Arial"/>
          <w:sz w:val="24"/>
          <w:szCs w:val="24"/>
        </w:rPr>
      </w:pPr>
    </w:p>
    <w:p w:rsidR="004E69C5" w:rsidRDefault="004E69C5" w:rsidP="00936BC5">
      <w:pPr>
        <w:ind w:left="567"/>
        <w:jc w:val="both"/>
        <w:rPr>
          <w:rFonts w:ascii="Century Gothic" w:hAnsi="Century Gothic" w:cs="Arial"/>
          <w:sz w:val="24"/>
          <w:szCs w:val="24"/>
        </w:rPr>
      </w:pPr>
    </w:p>
    <w:p w:rsidR="004E69C5" w:rsidRPr="00A9360B" w:rsidRDefault="004E69C5" w:rsidP="00936BC5">
      <w:pPr>
        <w:ind w:left="567"/>
        <w:jc w:val="both"/>
        <w:rPr>
          <w:rFonts w:ascii="Century Gothic" w:hAnsi="Century Gothic" w:cs="Arial"/>
          <w:sz w:val="24"/>
          <w:szCs w:val="24"/>
        </w:rPr>
      </w:pPr>
    </w:p>
    <w:p w:rsidR="00936BC5" w:rsidRPr="00A9360B" w:rsidRDefault="00936BC5" w:rsidP="00936BC5">
      <w:pPr>
        <w:ind w:left="567"/>
        <w:jc w:val="both"/>
        <w:rPr>
          <w:rFonts w:ascii="Century Gothic" w:hAnsi="Century Gothic" w:cs="Arial"/>
          <w:sz w:val="24"/>
          <w:szCs w:val="24"/>
        </w:rPr>
      </w:pPr>
    </w:p>
    <w:p w:rsidR="00936BC5" w:rsidRPr="00A9360B" w:rsidRDefault="00936BC5" w:rsidP="00936BC5">
      <w:pPr>
        <w:ind w:left="567"/>
        <w:jc w:val="both"/>
        <w:rPr>
          <w:rFonts w:ascii="Century Gothic" w:hAnsi="Century Gothic"/>
          <w:b/>
          <w:sz w:val="24"/>
          <w:szCs w:val="24"/>
        </w:rPr>
      </w:pPr>
      <w:r w:rsidRPr="00A9360B">
        <w:rPr>
          <w:rFonts w:ascii="Century Gothic" w:hAnsi="Century Gothic"/>
          <w:b/>
          <w:sz w:val="24"/>
          <w:szCs w:val="24"/>
        </w:rPr>
        <w:t>2- VOTO DO RELATOR</w:t>
      </w:r>
    </w:p>
    <w:p w:rsidR="00936BC5" w:rsidRPr="00A9360B" w:rsidRDefault="00936BC5" w:rsidP="00ED2246">
      <w:pPr>
        <w:jc w:val="both"/>
        <w:rPr>
          <w:rFonts w:ascii="Century Gothic" w:hAnsi="Century Gothic"/>
          <w:sz w:val="24"/>
          <w:szCs w:val="24"/>
        </w:rPr>
      </w:pPr>
    </w:p>
    <w:p w:rsidR="007E6C4F" w:rsidRDefault="00936BC5" w:rsidP="00ED2246">
      <w:pPr>
        <w:ind w:left="567"/>
        <w:jc w:val="both"/>
        <w:rPr>
          <w:rFonts w:ascii="Century Gothic" w:hAnsi="Century Gothic" w:cs="Arial"/>
          <w:sz w:val="24"/>
          <w:szCs w:val="24"/>
        </w:rPr>
      </w:pPr>
      <w:r w:rsidRPr="00A9360B">
        <w:rPr>
          <w:rFonts w:ascii="Century Gothic" w:hAnsi="Century Gothic" w:cs="Arial"/>
          <w:sz w:val="24"/>
          <w:szCs w:val="24"/>
        </w:rPr>
        <w:t>Este Relator acompanha o parecer</w:t>
      </w:r>
      <w:r w:rsidR="004C33BF">
        <w:rPr>
          <w:rFonts w:ascii="Century Gothic" w:hAnsi="Century Gothic" w:cs="Arial"/>
          <w:sz w:val="24"/>
          <w:szCs w:val="24"/>
        </w:rPr>
        <w:t xml:space="preserve"> opinativo</w:t>
      </w:r>
      <w:r w:rsidRPr="00A9360B">
        <w:rPr>
          <w:rFonts w:ascii="Century Gothic" w:hAnsi="Century Gothic" w:cs="Arial"/>
          <w:sz w:val="24"/>
          <w:szCs w:val="24"/>
        </w:rPr>
        <w:t xml:space="preserve"> da Procuradoria da casa e se manifesta pela </w:t>
      </w:r>
      <w:r w:rsidRPr="00ED2246">
        <w:rPr>
          <w:rFonts w:ascii="Century Gothic" w:hAnsi="Century Gothic" w:cs="Arial"/>
          <w:b/>
          <w:bCs/>
          <w:sz w:val="24"/>
          <w:szCs w:val="24"/>
        </w:rPr>
        <w:t>constitucionalidade</w:t>
      </w:r>
      <w:r w:rsidRPr="00A9360B">
        <w:rPr>
          <w:rFonts w:ascii="Century Gothic" w:hAnsi="Century Gothic" w:cs="Arial"/>
          <w:sz w:val="24"/>
          <w:szCs w:val="24"/>
        </w:rPr>
        <w:t xml:space="preserve"> do Projeto de Lei N°0</w:t>
      </w:r>
      <w:r w:rsidR="008C2F8F">
        <w:rPr>
          <w:rFonts w:ascii="Century Gothic" w:hAnsi="Century Gothic" w:cs="Arial"/>
          <w:sz w:val="24"/>
          <w:szCs w:val="24"/>
        </w:rPr>
        <w:t>54</w:t>
      </w:r>
      <w:r w:rsidRPr="00A9360B">
        <w:rPr>
          <w:rFonts w:ascii="Century Gothic" w:hAnsi="Century Gothic" w:cs="Arial"/>
          <w:sz w:val="24"/>
          <w:szCs w:val="24"/>
        </w:rPr>
        <w:t>/20</w:t>
      </w:r>
      <w:r w:rsidR="008C2F8F">
        <w:rPr>
          <w:rFonts w:ascii="Century Gothic" w:hAnsi="Century Gothic" w:cs="Arial"/>
          <w:sz w:val="24"/>
          <w:szCs w:val="24"/>
        </w:rPr>
        <w:t>18</w:t>
      </w:r>
      <w:r w:rsidRPr="00A9360B">
        <w:rPr>
          <w:rFonts w:ascii="Century Gothic" w:hAnsi="Century Gothic" w:cs="Arial"/>
          <w:sz w:val="24"/>
          <w:szCs w:val="24"/>
        </w:rPr>
        <w:t xml:space="preserve">, de autoria do </w:t>
      </w:r>
      <w:r w:rsidR="00E8550A">
        <w:rPr>
          <w:rFonts w:ascii="Century Gothic" w:hAnsi="Century Gothic" w:cs="Arial"/>
          <w:sz w:val="24"/>
          <w:szCs w:val="24"/>
        </w:rPr>
        <w:t>Executivo Municipal,</w:t>
      </w:r>
      <w:r w:rsidR="00E8550A" w:rsidRPr="00A9360B">
        <w:rPr>
          <w:rFonts w:ascii="Century Gothic" w:hAnsi="Century Gothic" w:cs="Arial"/>
          <w:sz w:val="24"/>
          <w:szCs w:val="24"/>
        </w:rPr>
        <w:t xml:space="preserve"> em</w:t>
      </w:r>
      <w:r w:rsidRPr="00A9360B">
        <w:rPr>
          <w:rFonts w:ascii="Century Gothic" w:hAnsi="Century Gothic" w:cs="Arial"/>
          <w:sz w:val="24"/>
          <w:szCs w:val="24"/>
        </w:rPr>
        <w:t xml:space="preserve"> conformidade </w:t>
      </w:r>
      <w:proofErr w:type="spellStart"/>
      <w:r w:rsidRPr="00A9360B">
        <w:rPr>
          <w:rFonts w:ascii="Century Gothic" w:hAnsi="Century Gothic" w:cs="Arial"/>
          <w:sz w:val="24"/>
          <w:szCs w:val="24"/>
        </w:rPr>
        <w:t>á</w:t>
      </w:r>
      <w:proofErr w:type="spellEnd"/>
      <w:r w:rsidRPr="00A9360B">
        <w:rPr>
          <w:rFonts w:ascii="Century Gothic" w:hAnsi="Century Gothic" w:cs="Arial"/>
          <w:sz w:val="24"/>
          <w:szCs w:val="24"/>
        </w:rPr>
        <w:t xml:space="preserve"> fundamentação exarada no parecer de </w:t>
      </w:r>
      <w:r w:rsidR="008C2F8F" w:rsidRPr="004E69C5">
        <w:rPr>
          <w:rFonts w:ascii="Century Gothic" w:hAnsi="Century Gothic" w:cs="Arial"/>
          <w:sz w:val="24"/>
          <w:szCs w:val="24"/>
        </w:rPr>
        <w:t>fls.</w:t>
      </w:r>
      <w:r w:rsidR="008C2F8F">
        <w:rPr>
          <w:rFonts w:ascii="Century Gothic" w:hAnsi="Century Gothic" w:cs="Arial"/>
          <w:sz w:val="24"/>
          <w:szCs w:val="24"/>
        </w:rPr>
        <w:t>79/87</w:t>
      </w:r>
      <w:r w:rsidR="00B052FD" w:rsidRPr="00A9360B">
        <w:rPr>
          <w:rFonts w:ascii="Century Gothic" w:hAnsi="Century Gothic" w:cs="Arial"/>
          <w:sz w:val="24"/>
          <w:szCs w:val="24"/>
        </w:rPr>
        <w:t>.</w:t>
      </w:r>
    </w:p>
    <w:p w:rsidR="00ED2246" w:rsidRPr="00ED2246" w:rsidRDefault="00ED2246" w:rsidP="00ED2246">
      <w:pPr>
        <w:ind w:left="567"/>
        <w:jc w:val="both"/>
        <w:rPr>
          <w:rFonts w:ascii="Century Gothic" w:hAnsi="Century Gothic" w:cs="Arial"/>
          <w:sz w:val="24"/>
          <w:szCs w:val="24"/>
        </w:rPr>
      </w:pPr>
    </w:p>
    <w:p w:rsidR="007E6C4F" w:rsidRDefault="00397BC0" w:rsidP="00ED2246">
      <w:pPr>
        <w:ind w:left="567"/>
        <w:rPr>
          <w:rFonts w:ascii="Century Gothic" w:hAnsi="Century Gothic" w:cs="Arial"/>
          <w:sz w:val="24"/>
          <w:szCs w:val="24"/>
        </w:rPr>
      </w:pPr>
      <w:r w:rsidRPr="00A9360B">
        <w:rPr>
          <w:rFonts w:ascii="Century Gothic" w:hAnsi="Century Gothic" w:cs="Arial"/>
          <w:sz w:val="24"/>
          <w:szCs w:val="24"/>
        </w:rPr>
        <w:t>Aracr</w:t>
      </w:r>
      <w:r w:rsidR="004B059B" w:rsidRPr="00A9360B">
        <w:rPr>
          <w:rFonts w:ascii="Century Gothic" w:hAnsi="Century Gothic" w:cs="Arial"/>
          <w:sz w:val="24"/>
          <w:szCs w:val="24"/>
        </w:rPr>
        <w:t xml:space="preserve">uz-ES. </w:t>
      </w:r>
      <w:r w:rsidR="008C2F8F">
        <w:rPr>
          <w:rFonts w:ascii="Century Gothic" w:hAnsi="Century Gothic" w:cs="Arial"/>
          <w:sz w:val="24"/>
          <w:szCs w:val="24"/>
        </w:rPr>
        <w:t>08</w:t>
      </w:r>
      <w:r w:rsidR="00ED2246">
        <w:rPr>
          <w:rFonts w:ascii="Century Gothic" w:hAnsi="Century Gothic" w:cs="Arial"/>
          <w:sz w:val="24"/>
          <w:szCs w:val="24"/>
        </w:rPr>
        <w:t xml:space="preserve"> de </w:t>
      </w:r>
      <w:r w:rsidR="008C2F8F">
        <w:rPr>
          <w:rFonts w:ascii="Century Gothic" w:hAnsi="Century Gothic" w:cs="Arial"/>
          <w:sz w:val="24"/>
          <w:szCs w:val="24"/>
        </w:rPr>
        <w:t>dezembro</w:t>
      </w:r>
      <w:bookmarkStart w:id="0" w:name="_GoBack"/>
      <w:bookmarkEnd w:id="0"/>
      <w:r w:rsidR="00137457" w:rsidRPr="00A9360B">
        <w:rPr>
          <w:rFonts w:ascii="Century Gothic" w:hAnsi="Century Gothic" w:cs="Arial"/>
          <w:sz w:val="24"/>
          <w:szCs w:val="24"/>
        </w:rPr>
        <w:t>/</w:t>
      </w:r>
      <w:r w:rsidR="00B052FD" w:rsidRPr="00A9360B">
        <w:rPr>
          <w:rFonts w:ascii="Century Gothic" w:hAnsi="Century Gothic" w:cs="Arial"/>
          <w:sz w:val="24"/>
          <w:szCs w:val="24"/>
        </w:rPr>
        <w:t>20</w:t>
      </w:r>
      <w:r w:rsidR="00ED2246">
        <w:rPr>
          <w:rFonts w:ascii="Century Gothic" w:hAnsi="Century Gothic" w:cs="Arial"/>
          <w:sz w:val="24"/>
          <w:szCs w:val="24"/>
        </w:rPr>
        <w:t>20</w:t>
      </w:r>
    </w:p>
    <w:p w:rsidR="00E8550A" w:rsidRDefault="00E8550A" w:rsidP="00ED2246">
      <w:pPr>
        <w:ind w:left="567"/>
        <w:rPr>
          <w:rFonts w:ascii="Century Gothic" w:hAnsi="Century Gothic" w:cs="Arial"/>
          <w:sz w:val="24"/>
          <w:szCs w:val="24"/>
        </w:rPr>
      </w:pPr>
    </w:p>
    <w:p w:rsidR="004E69C5" w:rsidRDefault="004E69C5" w:rsidP="00ED2246">
      <w:pPr>
        <w:ind w:left="567"/>
        <w:rPr>
          <w:rFonts w:ascii="Century Gothic" w:hAnsi="Century Gothic" w:cs="Arial"/>
          <w:sz w:val="24"/>
          <w:szCs w:val="24"/>
        </w:rPr>
      </w:pPr>
    </w:p>
    <w:p w:rsidR="004E69C5" w:rsidRPr="00ED2246" w:rsidRDefault="004E69C5" w:rsidP="00ED2246">
      <w:pPr>
        <w:ind w:left="567"/>
        <w:rPr>
          <w:rFonts w:ascii="Century Gothic" w:hAnsi="Century Gothic" w:cs="Arial"/>
          <w:sz w:val="24"/>
          <w:szCs w:val="24"/>
        </w:rPr>
      </w:pPr>
    </w:p>
    <w:p w:rsidR="00397BC0" w:rsidRPr="00A9360B" w:rsidRDefault="00397BC0" w:rsidP="00397BC0">
      <w:pPr>
        <w:ind w:left="567"/>
        <w:jc w:val="center"/>
        <w:rPr>
          <w:rFonts w:ascii="Century Gothic" w:hAnsi="Century Gothic"/>
          <w:b/>
          <w:sz w:val="24"/>
          <w:szCs w:val="24"/>
        </w:rPr>
      </w:pPr>
    </w:p>
    <w:p w:rsidR="007E6C4F" w:rsidRPr="00A9360B" w:rsidRDefault="00137457" w:rsidP="00397BC0">
      <w:pPr>
        <w:ind w:left="567"/>
        <w:jc w:val="center"/>
        <w:rPr>
          <w:rFonts w:ascii="Century Gothic" w:hAnsi="Century Gothic"/>
          <w:b/>
          <w:sz w:val="24"/>
          <w:szCs w:val="24"/>
        </w:rPr>
      </w:pPr>
      <w:r w:rsidRPr="00A9360B">
        <w:rPr>
          <w:rFonts w:ascii="Century Gothic" w:hAnsi="Century Gothic"/>
          <w:b/>
          <w:sz w:val="24"/>
          <w:szCs w:val="24"/>
        </w:rPr>
        <w:t>JOSÉ GOMES DOS SANTOS</w:t>
      </w:r>
    </w:p>
    <w:p w:rsidR="00ED2246" w:rsidRPr="00ED2246" w:rsidRDefault="007E6C4F" w:rsidP="00ED2246">
      <w:pPr>
        <w:ind w:left="567"/>
        <w:jc w:val="center"/>
        <w:rPr>
          <w:rFonts w:ascii="Century Gothic" w:hAnsi="Century Gothic" w:cs="Arial"/>
          <w:b/>
          <w:sz w:val="24"/>
          <w:szCs w:val="24"/>
        </w:rPr>
      </w:pPr>
      <w:r w:rsidRPr="00A9360B">
        <w:rPr>
          <w:rFonts w:ascii="Century Gothic" w:hAnsi="Century Gothic" w:cs="Arial"/>
          <w:b/>
          <w:sz w:val="24"/>
          <w:szCs w:val="24"/>
        </w:rPr>
        <w:t>Relator</w:t>
      </w:r>
    </w:p>
    <w:sectPr w:rsidR="00ED2246" w:rsidRPr="00ED2246" w:rsidSect="00F64A01">
      <w:headerReference w:type="default" r:id="rId8"/>
      <w:footerReference w:type="default" r:id="rId9"/>
      <w:pgSz w:w="11906" w:h="16838"/>
      <w:pgMar w:top="1560" w:right="707" w:bottom="357" w:left="1276" w:header="34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2A6" w:rsidRDefault="005762A6">
      <w:r>
        <w:separator/>
      </w:r>
    </w:p>
  </w:endnote>
  <w:endnote w:type="continuationSeparator" w:id="0">
    <w:p w:rsidR="005762A6" w:rsidRDefault="0057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Edwardian Script ITC">
    <w:altName w:val="Edwardian Script ITC"/>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6EA" w:rsidRPr="00393C7B" w:rsidRDefault="003866EA" w:rsidP="00C8496B">
    <w:pPr>
      <w:jc w:val="center"/>
      <w:rPr>
        <w:rFonts w:ascii="Arial" w:hAnsi="Arial" w:cs="Arial"/>
      </w:rPr>
    </w:pPr>
    <w:r w:rsidRPr="00393C7B">
      <w:rPr>
        <w:rFonts w:ascii="Arial" w:hAnsi="Arial" w:cs="Arial"/>
      </w:rPr>
      <w:t>Rua Professor Lobo, 550 – Centro – Ara</w:t>
    </w:r>
    <w:r w:rsidR="00727015">
      <w:rPr>
        <w:rFonts w:ascii="Arial" w:hAnsi="Arial" w:cs="Arial"/>
      </w:rPr>
      <w:t>cruz – E. Santo – CEP 29.190-002</w:t>
    </w:r>
    <w:r w:rsidRPr="00393C7B">
      <w:rPr>
        <w:rFonts w:ascii="Arial" w:hAnsi="Arial" w:cs="Arial"/>
      </w:rPr>
      <w:t xml:space="preserve"> – </w:t>
    </w:r>
    <w:proofErr w:type="spellStart"/>
    <w:r w:rsidRPr="00393C7B">
      <w:rPr>
        <w:rFonts w:ascii="Arial" w:hAnsi="Arial" w:cs="Arial"/>
      </w:rPr>
      <w:t>Tel</w:t>
    </w:r>
    <w:proofErr w:type="spellEnd"/>
    <w:r w:rsidRPr="00393C7B">
      <w:rPr>
        <w:rFonts w:ascii="Arial" w:hAnsi="Arial" w:cs="Arial"/>
      </w:rPr>
      <w:t>: (27) 3256-9491</w:t>
    </w:r>
  </w:p>
  <w:p w:rsidR="003866EA" w:rsidRPr="00393C7B" w:rsidRDefault="003866EA" w:rsidP="00C8496B">
    <w:pPr>
      <w:jc w:val="center"/>
      <w:rPr>
        <w:rFonts w:ascii="Arial" w:hAnsi="Arial" w:cs="Arial"/>
      </w:rPr>
    </w:pPr>
    <w:r w:rsidRPr="00393C7B">
      <w:rPr>
        <w:rFonts w:ascii="Arial" w:hAnsi="Arial" w:cs="Arial"/>
      </w:rPr>
      <w:t xml:space="preserve">Telefax: (27) 3256-9492 – E-mail: </w:t>
    </w:r>
    <w:hyperlink r:id="rId1" w:history="1">
      <w:r w:rsidRPr="00393C7B">
        <w:rPr>
          <w:rStyle w:val="Hyperlink"/>
          <w:rFonts w:ascii="Arial" w:hAnsi="Arial" w:cs="Arial"/>
        </w:rPr>
        <w:t>cmacz@cma.es.gov.br</w:t>
      </w:r>
    </w:hyperlink>
    <w:r w:rsidRPr="00393C7B">
      <w:rPr>
        <w:rFonts w:ascii="Arial" w:hAnsi="Arial" w:cs="Arial"/>
      </w:rPr>
      <w:t xml:space="preserve"> – Site: </w:t>
    </w:r>
    <w:r>
      <w:rPr>
        <w:rFonts w:ascii="Arial" w:hAnsi="Arial" w:cs="Arial"/>
      </w:rPr>
      <w:t>www.</w:t>
    </w:r>
    <w:r w:rsidRPr="00393C7B">
      <w:rPr>
        <w:rFonts w:ascii="Arial" w:hAnsi="Arial" w:cs="Arial"/>
      </w:rPr>
      <w:t>cma.es.gov.br</w:t>
    </w:r>
  </w:p>
  <w:p w:rsidR="003866EA" w:rsidRDefault="003866E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2A6" w:rsidRDefault="005762A6">
      <w:r>
        <w:separator/>
      </w:r>
    </w:p>
  </w:footnote>
  <w:footnote w:type="continuationSeparator" w:id="0">
    <w:p w:rsidR="005762A6" w:rsidRDefault="00576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6EA" w:rsidRPr="00A31B81" w:rsidRDefault="0066051E" w:rsidP="00C8496B">
    <w:pPr>
      <w:tabs>
        <w:tab w:val="left" w:pos="335"/>
        <w:tab w:val="center" w:pos="4742"/>
      </w:tabs>
      <w:rPr>
        <w:rFonts w:ascii="Edwardian Script ITC" w:hAnsi="Edwardian Script ITC"/>
        <w:sz w:val="56"/>
        <w:szCs w:val="56"/>
      </w:rPr>
    </w:pPr>
    <w:r>
      <w:rPr>
        <w:noProof/>
      </w:rPr>
      <w:drawing>
        <wp:anchor distT="0" distB="0" distL="114300" distR="114300" simplePos="0" relativeHeight="251661312" behindDoc="0" locked="0" layoutInCell="1" allowOverlap="1" wp14:anchorId="6F16E027" wp14:editId="5BA21F6B">
          <wp:simplePos x="0" y="0"/>
          <wp:positionH relativeFrom="column">
            <wp:posOffset>-257175</wp:posOffset>
          </wp:positionH>
          <wp:positionV relativeFrom="paragraph">
            <wp:posOffset>34925</wp:posOffset>
          </wp:positionV>
          <wp:extent cx="1171575" cy="1044575"/>
          <wp:effectExtent l="19050" t="19050" r="28575" b="22225"/>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6000" contrast="24000"/>
                    <a:grayscl/>
                    <a:extLst>
                      <a:ext uri="{28A0092B-C50C-407E-A947-70E740481C1C}">
                        <a14:useLocalDpi xmlns:a14="http://schemas.microsoft.com/office/drawing/2010/main" val="0"/>
                      </a:ext>
                    </a:extLst>
                  </a:blip>
                  <a:srcRect/>
                  <a:stretch>
                    <a:fillRect/>
                  </a:stretch>
                </pic:blipFill>
                <pic:spPr bwMode="auto">
                  <a:xfrm>
                    <a:off x="0" y="0"/>
                    <a:ext cx="1171575" cy="1044575"/>
                  </a:xfrm>
                  <a:prstGeom prst="rect">
                    <a:avLst/>
                  </a:prstGeom>
                  <a:solidFill>
                    <a:srgbClr val="FFFFFF"/>
                  </a:solid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759C3165" wp14:editId="041FF49E">
              <wp:simplePos x="0" y="0"/>
              <wp:positionH relativeFrom="column">
                <wp:posOffset>1028700</wp:posOffset>
              </wp:positionH>
              <wp:positionV relativeFrom="paragraph">
                <wp:posOffset>-95250</wp:posOffset>
              </wp:positionV>
              <wp:extent cx="5029200" cy="571500"/>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66EA" w:rsidRPr="00047994" w:rsidRDefault="003866EA" w:rsidP="00C8496B">
                          <w:pPr>
                            <w:rPr>
                              <w:rFonts w:ascii="Edwardian Script ITC" w:hAnsi="Edwardian Script ITC"/>
                              <w:sz w:val="72"/>
                              <w:szCs w:val="72"/>
                              <w:u w:val="single"/>
                            </w:rPr>
                          </w:pPr>
                          <w:r w:rsidRPr="00047994">
                            <w:rPr>
                              <w:rFonts w:ascii="Edwardian Script ITC" w:hAnsi="Edwardian Script ITC"/>
                              <w:sz w:val="72"/>
                              <w:szCs w:val="72"/>
                              <w:u w:val="single"/>
                            </w:rPr>
                            <w:t>Câmara Municipal de Aracruz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C3165" id="_x0000_t202" coordsize="21600,21600" o:spt="202" path="m,l,21600r21600,l21600,xe">
              <v:stroke joinstyle="miter"/>
              <v:path gradientshapeok="t" o:connecttype="rect"/>
            </v:shapetype>
            <v:shape id="Caixa de texto 2" o:spid="_x0000_s1026" type="#_x0000_t202" style="position:absolute;margin-left:81pt;margin-top:-7.5pt;width:396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" stroked="f">
              <v:textbox>
                <w:txbxContent>
                  <w:p w:rsidR="003866EA" w:rsidRPr="00047994" w:rsidRDefault="003866EA" w:rsidP="00C8496B">
                    <w:pPr>
                      <w:rPr>
                        <w:rFonts w:ascii="Edwardian Script ITC" w:hAnsi="Edwardian Script ITC"/>
                        <w:sz w:val="72"/>
                        <w:szCs w:val="72"/>
                        <w:u w:val="single"/>
                      </w:rPr>
                    </w:pPr>
                    <w:r w:rsidRPr="00047994">
                      <w:rPr>
                        <w:rFonts w:ascii="Edwardian Script ITC" w:hAnsi="Edwardian Script ITC"/>
                        <w:sz w:val="72"/>
                        <w:szCs w:val="72"/>
                        <w:u w:val="single"/>
                      </w:rPr>
                      <w:t>Câmara Municipal de Aracruz</w:t>
                    </w:r>
                  </w:p>
                </w:txbxContent>
              </v:textbox>
            </v:shape>
          </w:pict>
        </mc:Fallback>
      </mc:AlternateContent>
    </w:r>
    <w:r w:rsidR="003866EA">
      <w:rPr>
        <w:noProof/>
      </w:rPr>
      <mc:AlternateContent>
        <mc:Choice Requires="wps">
          <w:drawing>
            <wp:anchor distT="0" distB="0" distL="114300" distR="114300" simplePos="0" relativeHeight="251659264" behindDoc="0" locked="0" layoutInCell="1" allowOverlap="1" wp14:anchorId="58F80DDD" wp14:editId="3F38C787">
              <wp:simplePos x="0" y="0"/>
              <wp:positionH relativeFrom="column">
                <wp:posOffset>1028700</wp:posOffset>
              </wp:positionH>
              <wp:positionV relativeFrom="paragraph">
                <wp:posOffset>476250</wp:posOffset>
              </wp:positionV>
              <wp:extent cx="3657600" cy="342900"/>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66EA" w:rsidRPr="00D93CB2" w:rsidRDefault="0066051E" w:rsidP="00C8496B">
                          <w:pPr>
                            <w:jc w:val="center"/>
                            <w:rPr>
                              <w:rFonts w:ascii="Arial" w:hAnsi="Arial" w:cs="Arial"/>
                              <w:sz w:val="28"/>
                              <w:szCs w:val="28"/>
                            </w:rPr>
                          </w:pPr>
                          <w:r>
                            <w:rPr>
                              <w:rFonts w:ascii="Arial" w:hAnsi="Arial" w:cs="Arial"/>
                              <w:sz w:val="28"/>
                              <w:szCs w:val="28"/>
                            </w:rPr>
                            <w:t xml:space="preserve">               </w:t>
                          </w:r>
                          <w:r w:rsidR="003866EA" w:rsidRPr="00D93CB2">
                            <w:rPr>
                              <w:rFonts w:ascii="Arial" w:hAnsi="Arial" w:cs="Arial"/>
                              <w:sz w:val="28"/>
                              <w:szCs w:val="28"/>
                            </w:rPr>
                            <w:t>ESTADO DO ESPÍRITO SANTO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80DDD" id="Caixa de texto 3" o:spid="_x0000_s1027" type="#_x0000_t202" style="position:absolute;margin-left:81pt;margin-top:37.5pt;width:4in;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" stroked="f">
              <v:textbox>
                <w:txbxContent>
                  <w:p w:rsidR="003866EA" w:rsidRPr="00D93CB2" w:rsidRDefault="0066051E" w:rsidP="00C8496B">
                    <w:pPr>
                      <w:jc w:val="center"/>
                      <w:rPr>
                        <w:rFonts w:ascii="Arial" w:hAnsi="Arial" w:cs="Arial"/>
                        <w:sz w:val="28"/>
                        <w:szCs w:val="28"/>
                      </w:rPr>
                    </w:pPr>
                    <w:r>
                      <w:rPr>
                        <w:rFonts w:ascii="Arial" w:hAnsi="Arial" w:cs="Arial"/>
                        <w:sz w:val="28"/>
                        <w:szCs w:val="28"/>
                      </w:rPr>
                      <w:t xml:space="preserve">               </w:t>
                    </w:r>
                    <w:r w:rsidR="003866EA" w:rsidRPr="00D93CB2">
                      <w:rPr>
                        <w:rFonts w:ascii="Arial" w:hAnsi="Arial" w:cs="Arial"/>
                        <w:sz w:val="28"/>
                        <w:szCs w:val="28"/>
                      </w:rPr>
                      <w:t>ESTADO DO ESPÍRITO SANTO</w:t>
                    </w:r>
                  </w:p>
                </w:txbxContent>
              </v:textbox>
            </v:shape>
          </w:pict>
        </mc:Fallback>
      </mc:AlternateContent>
    </w:r>
    <w:r w:rsidR="003866EA">
      <w:t xml:space="preserve">  </w:t>
    </w:r>
    <w:r w:rsidR="003866EA">
      <w:rPr>
        <w:rFonts w:ascii="Edwardian Script ITC" w:hAnsi="Edwardian Script ITC"/>
        <w:sz w:val="56"/>
        <w:szCs w:val="5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563B4"/>
    <w:multiLevelType w:val="hybridMultilevel"/>
    <w:tmpl w:val="39FCF21E"/>
    <w:lvl w:ilvl="0" w:tplc="A12A5BC0">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FDB"/>
    <w:rsid w:val="00004615"/>
    <w:rsid w:val="00004B56"/>
    <w:rsid w:val="000211B3"/>
    <w:rsid w:val="000234EE"/>
    <w:rsid w:val="00030B85"/>
    <w:rsid w:val="00062ED0"/>
    <w:rsid w:val="00084EDD"/>
    <w:rsid w:val="00095F8F"/>
    <w:rsid w:val="000A3FA3"/>
    <w:rsid w:val="000F5E96"/>
    <w:rsid w:val="00137457"/>
    <w:rsid w:val="001D21EB"/>
    <w:rsid w:val="001D63E5"/>
    <w:rsid w:val="001E1939"/>
    <w:rsid w:val="001F21DB"/>
    <w:rsid w:val="00205E19"/>
    <w:rsid w:val="002217EE"/>
    <w:rsid w:val="00233F7F"/>
    <w:rsid w:val="00257C8A"/>
    <w:rsid w:val="00260B5B"/>
    <w:rsid w:val="00282140"/>
    <w:rsid w:val="002A320A"/>
    <w:rsid w:val="002B6FAE"/>
    <w:rsid w:val="00313990"/>
    <w:rsid w:val="00316027"/>
    <w:rsid w:val="003170B9"/>
    <w:rsid w:val="00346C26"/>
    <w:rsid w:val="003529BC"/>
    <w:rsid w:val="003866EA"/>
    <w:rsid w:val="00397BC0"/>
    <w:rsid w:val="003A145C"/>
    <w:rsid w:val="003C5850"/>
    <w:rsid w:val="003E404C"/>
    <w:rsid w:val="003F61D0"/>
    <w:rsid w:val="00421859"/>
    <w:rsid w:val="0043116B"/>
    <w:rsid w:val="00461DBA"/>
    <w:rsid w:val="004A26CF"/>
    <w:rsid w:val="004A4728"/>
    <w:rsid w:val="004B059B"/>
    <w:rsid w:val="004C33BF"/>
    <w:rsid w:val="004C7FF6"/>
    <w:rsid w:val="004D2475"/>
    <w:rsid w:val="004D45BE"/>
    <w:rsid w:val="004D670E"/>
    <w:rsid w:val="004E308C"/>
    <w:rsid w:val="004E69C5"/>
    <w:rsid w:val="004E7754"/>
    <w:rsid w:val="00505DBD"/>
    <w:rsid w:val="005222AB"/>
    <w:rsid w:val="005541C8"/>
    <w:rsid w:val="00562718"/>
    <w:rsid w:val="005717F4"/>
    <w:rsid w:val="005762A6"/>
    <w:rsid w:val="005A2381"/>
    <w:rsid w:val="005E517E"/>
    <w:rsid w:val="005E59C5"/>
    <w:rsid w:val="005F68CC"/>
    <w:rsid w:val="00630FC9"/>
    <w:rsid w:val="0066051E"/>
    <w:rsid w:val="00667491"/>
    <w:rsid w:val="006850E8"/>
    <w:rsid w:val="006A0A54"/>
    <w:rsid w:val="006A2738"/>
    <w:rsid w:val="006A3925"/>
    <w:rsid w:val="006B180D"/>
    <w:rsid w:val="006F1582"/>
    <w:rsid w:val="007057B5"/>
    <w:rsid w:val="007141C0"/>
    <w:rsid w:val="00727015"/>
    <w:rsid w:val="00743E1C"/>
    <w:rsid w:val="0074559D"/>
    <w:rsid w:val="00756689"/>
    <w:rsid w:val="007B4914"/>
    <w:rsid w:val="007E5396"/>
    <w:rsid w:val="007E6C4F"/>
    <w:rsid w:val="007F69C8"/>
    <w:rsid w:val="0082202B"/>
    <w:rsid w:val="00844B47"/>
    <w:rsid w:val="008557FF"/>
    <w:rsid w:val="008B70FB"/>
    <w:rsid w:val="008C2F8F"/>
    <w:rsid w:val="008D13B5"/>
    <w:rsid w:val="009061D7"/>
    <w:rsid w:val="00936BC5"/>
    <w:rsid w:val="009416FC"/>
    <w:rsid w:val="009633CB"/>
    <w:rsid w:val="00976F5C"/>
    <w:rsid w:val="009D1D73"/>
    <w:rsid w:val="00A27F26"/>
    <w:rsid w:val="00A313A8"/>
    <w:rsid w:val="00A32537"/>
    <w:rsid w:val="00A3406D"/>
    <w:rsid w:val="00A3742F"/>
    <w:rsid w:val="00A71293"/>
    <w:rsid w:val="00A82B2F"/>
    <w:rsid w:val="00A9360B"/>
    <w:rsid w:val="00A94D35"/>
    <w:rsid w:val="00AC0509"/>
    <w:rsid w:val="00AD2DA8"/>
    <w:rsid w:val="00AF23F7"/>
    <w:rsid w:val="00B01072"/>
    <w:rsid w:val="00B052FD"/>
    <w:rsid w:val="00B159F5"/>
    <w:rsid w:val="00B6462F"/>
    <w:rsid w:val="00B7053D"/>
    <w:rsid w:val="00B764C0"/>
    <w:rsid w:val="00B915FF"/>
    <w:rsid w:val="00BA7C03"/>
    <w:rsid w:val="00BE51C2"/>
    <w:rsid w:val="00C27C57"/>
    <w:rsid w:val="00C510A3"/>
    <w:rsid w:val="00C66067"/>
    <w:rsid w:val="00C8496B"/>
    <w:rsid w:val="00C937F3"/>
    <w:rsid w:val="00CA0EA1"/>
    <w:rsid w:val="00CC08E0"/>
    <w:rsid w:val="00CE6989"/>
    <w:rsid w:val="00CE7564"/>
    <w:rsid w:val="00D046DE"/>
    <w:rsid w:val="00D2561F"/>
    <w:rsid w:val="00D27A22"/>
    <w:rsid w:val="00D27B42"/>
    <w:rsid w:val="00D61649"/>
    <w:rsid w:val="00D61C45"/>
    <w:rsid w:val="00D641E3"/>
    <w:rsid w:val="00D65919"/>
    <w:rsid w:val="00D75DAF"/>
    <w:rsid w:val="00D95908"/>
    <w:rsid w:val="00DA2F7F"/>
    <w:rsid w:val="00DB55B4"/>
    <w:rsid w:val="00E11D51"/>
    <w:rsid w:val="00E270BD"/>
    <w:rsid w:val="00E32AF0"/>
    <w:rsid w:val="00E42928"/>
    <w:rsid w:val="00E70FDB"/>
    <w:rsid w:val="00E77304"/>
    <w:rsid w:val="00E8550A"/>
    <w:rsid w:val="00ED2246"/>
    <w:rsid w:val="00F01731"/>
    <w:rsid w:val="00F16524"/>
    <w:rsid w:val="00F319DA"/>
    <w:rsid w:val="00F44736"/>
    <w:rsid w:val="00F64A01"/>
    <w:rsid w:val="00F76FF5"/>
    <w:rsid w:val="00F942CC"/>
    <w:rsid w:val="00FB5413"/>
    <w:rsid w:val="00FC7D31"/>
    <w:rsid w:val="00FD073F"/>
    <w:rsid w:val="00FD6175"/>
    <w:rsid w:val="00FE08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C149F"/>
  <w15:docId w15:val="{AA05AA25-81A3-4057-8AEB-9BF0A03A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FDB"/>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E70FDB"/>
    <w:pPr>
      <w:keepNext/>
      <w:jc w:val="both"/>
      <w:outlineLvl w:val="0"/>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70FDB"/>
    <w:rPr>
      <w:rFonts w:ascii="Times New Roman" w:eastAsia="Times New Roman" w:hAnsi="Times New Roman" w:cs="Times New Roman"/>
      <w:b/>
      <w:bCs/>
      <w:sz w:val="28"/>
      <w:szCs w:val="20"/>
      <w:lang w:eastAsia="pt-BR"/>
    </w:rPr>
  </w:style>
  <w:style w:type="paragraph" w:styleId="Rodap">
    <w:name w:val="footer"/>
    <w:basedOn w:val="Normal"/>
    <w:link w:val="RodapChar"/>
    <w:rsid w:val="00E70FDB"/>
    <w:pPr>
      <w:tabs>
        <w:tab w:val="center" w:pos="4252"/>
        <w:tab w:val="right" w:pos="8504"/>
      </w:tabs>
    </w:pPr>
  </w:style>
  <w:style w:type="character" w:customStyle="1" w:styleId="RodapChar">
    <w:name w:val="Rodapé Char"/>
    <w:basedOn w:val="Fontepargpadro"/>
    <w:link w:val="Rodap"/>
    <w:rsid w:val="00E70FDB"/>
    <w:rPr>
      <w:rFonts w:ascii="Times New Roman" w:eastAsia="Times New Roman" w:hAnsi="Times New Roman" w:cs="Times New Roman"/>
      <w:sz w:val="20"/>
      <w:szCs w:val="20"/>
      <w:lang w:eastAsia="pt-BR"/>
    </w:rPr>
  </w:style>
  <w:style w:type="character" w:styleId="Hyperlink">
    <w:name w:val="Hyperlink"/>
    <w:rsid w:val="00E70FDB"/>
    <w:rPr>
      <w:color w:val="0000FF"/>
      <w:u w:val="single"/>
    </w:rPr>
  </w:style>
  <w:style w:type="paragraph" w:styleId="Textodebalo">
    <w:name w:val="Balloon Text"/>
    <w:basedOn w:val="Normal"/>
    <w:link w:val="TextodebaloChar"/>
    <w:uiPriority w:val="99"/>
    <w:semiHidden/>
    <w:unhideWhenUsed/>
    <w:rsid w:val="00E70FDB"/>
    <w:rPr>
      <w:rFonts w:ascii="Tahoma" w:hAnsi="Tahoma" w:cs="Tahoma"/>
      <w:sz w:val="16"/>
      <w:szCs w:val="16"/>
    </w:rPr>
  </w:style>
  <w:style w:type="character" w:customStyle="1" w:styleId="TextodebaloChar">
    <w:name w:val="Texto de balão Char"/>
    <w:basedOn w:val="Fontepargpadro"/>
    <w:link w:val="Textodebalo"/>
    <w:uiPriority w:val="99"/>
    <w:semiHidden/>
    <w:rsid w:val="00E70FDB"/>
    <w:rPr>
      <w:rFonts w:ascii="Tahoma" w:eastAsia="Times New Roman" w:hAnsi="Tahoma" w:cs="Tahoma"/>
      <w:sz w:val="16"/>
      <w:szCs w:val="16"/>
      <w:lang w:eastAsia="pt-BR"/>
    </w:rPr>
  </w:style>
  <w:style w:type="paragraph" w:styleId="Cabealho">
    <w:name w:val="header"/>
    <w:basedOn w:val="Normal"/>
    <w:link w:val="CabealhoChar"/>
    <w:uiPriority w:val="99"/>
    <w:unhideWhenUsed/>
    <w:rsid w:val="00C8496B"/>
    <w:pPr>
      <w:tabs>
        <w:tab w:val="center" w:pos="4252"/>
        <w:tab w:val="right" w:pos="8504"/>
      </w:tabs>
    </w:pPr>
  </w:style>
  <w:style w:type="character" w:customStyle="1" w:styleId="CabealhoChar">
    <w:name w:val="Cabeçalho Char"/>
    <w:basedOn w:val="Fontepargpadro"/>
    <w:link w:val="Cabealho"/>
    <w:uiPriority w:val="99"/>
    <w:rsid w:val="00C8496B"/>
    <w:rPr>
      <w:rFonts w:ascii="Times New Roman" w:eastAsia="Times New Roman" w:hAnsi="Times New Roman" w:cs="Times New Roman"/>
      <w:sz w:val="20"/>
      <w:szCs w:val="20"/>
      <w:lang w:eastAsia="pt-BR"/>
    </w:rPr>
  </w:style>
  <w:style w:type="table" w:styleId="Tabelacomgrade">
    <w:name w:val="Table Grid"/>
    <w:basedOn w:val="Tabelanormal"/>
    <w:rsid w:val="009416F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1E1939"/>
    <w:pPr>
      <w:spacing w:after="0" w:line="240" w:lineRule="auto"/>
    </w:pPr>
  </w:style>
  <w:style w:type="paragraph" w:styleId="Corpodetexto">
    <w:name w:val="Body Text"/>
    <w:basedOn w:val="Normal"/>
    <w:link w:val="CorpodetextoChar"/>
    <w:semiHidden/>
    <w:unhideWhenUsed/>
    <w:rsid w:val="00004B56"/>
    <w:pPr>
      <w:jc w:val="both"/>
    </w:pPr>
    <w:rPr>
      <w:sz w:val="24"/>
    </w:rPr>
  </w:style>
  <w:style w:type="character" w:customStyle="1" w:styleId="CorpodetextoChar">
    <w:name w:val="Corpo de texto Char"/>
    <w:basedOn w:val="Fontepargpadro"/>
    <w:link w:val="Corpodetexto"/>
    <w:semiHidden/>
    <w:rsid w:val="00004B56"/>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004B56"/>
    <w:pPr>
      <w:ind w:left="2124"/>
      <w:jc w:val="both"/>
    </w:pPr>
    <w:rPr>
      <w:b/>
      <w:sz w:val="24"/>
    </w:rPr>
  </w:style>
  <w:style w:type="character" w:customStyle="1" w:styleId="RecuodecorpodetextoChar">
    <w:name w:val="Recuo de corpo de texto Char"/>
    <w:basedOn w:val="Fontepargpadro"/>
    <w:link w:val="Recuodecorpodetexto"/>
    <w:semiHidden/>
    <w:rsid w:val="00004B56"/>
    <w:rPr>
      <w:rFonts w:ascii="Times New Roman" w:eastAsia="Times New Roman" w:hAnsi="Times New Roman" w:cs="Times New Roman"/>
      <w:b/>
      <w:sz w:val="24"/>
      <w:szCs w:val="20"/>
      <w:lang w:eastAsia="pt-BR"/>
    </w:rPr>
  </w:style>
  <w:style w:type="paragraph" w:styleId="PargrafodaLista">
    <w:name w:val="List Paragraph"/>
    <w:basedOn w:val="Normal"/>
    <w:uiPriority w:val="34"/>
    <w:qFormat/>
    <w:rsid w:val="00221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89861">
      <w:bodyDiv w:val="1"/>
      <w:marLeft w:val="0"/>
      <w:marRight w:val="0"/>
      <w:marTop w:val="0"/>
      <w:marBottom w:val="0"/>
      <w:divBdr>
        <w:top w:val="none" w:sz="0" w:space="0" w:color="auto"/>
        <w:left w:val="none" w:sz="0" w:space="0" w:color="auto"/>
        <w:bottom w:val="none" w:sz="0" w:space="0" w:color="auto"/>
        <w:right w:val="none" w:sz="0" w:space="0" w:color="auto"/>
      </w:divBdr>
    </w:div>
    <w:div w:id="259726284">
      <w:bodyDiv w:val="1"/>
      <w:marLeft w:val="0"/>
      <w:marRight w:val="0"/>
      <w:marTop w:val="0"/>
      <w:marBottom w:val="0"/>
      <w:divBdr>
        <w:top w:val="none" w:sz="0" w:space="0" w:color="auto"/>
        <w:left w:val="none" w:sz="0" w:space="0" w:color="auto"/>
        <w:bottom w:val="none" w:sz="0" w:space="0" w:color="auto"/>
        <w:right w:val="none" w:sz="0" w:space="0" w:color="auto"/>
      </w:divBdr>
    </w:div>
    <w:div w:id="1075905212">
      <w:bodyDiv w:val="1"/>
      <w:marLeft w:val="0"/>
      <w:marRight w:val="0"/>
      <w:marTop w:val="0"/>
      <w:marBottom w:val="0"/>
      <w:divBdr>
        <w:top w:val="none" w:sz="0" w:space="0" w:color="auto"/>
        <w:left w:val="none" w:sz="0" w:space="0" w:color="auto"/>
        <w:bottom w:val="none" w:sz="0" w:space="0" w:color="auto"/>
        <w:right w:val="none" w:sz="0" w:space="0" w:color="auto"/>
      </w:divBdr>
    </w:div>
    <w:div w:id="146442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macz@cma.e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4D5EA-062A-4311-867F-41A0B0454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386</Words>
  <Characters>2085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Thaís Santos Mattos</dc:creator>
  <cp:lastModifiedBy>Gabinete José Gomes dos Santos (LULA)</cp:lastModifiedBy>
  <cp:revision>2</cp:revision>
  <cp:lastPrinted>2020-12-08T13:55:00Z</cp:lastPrinted>
  <dcterms:created xsi:type="dcterms:W3CDTF">2020-12-08T13:56:00Z</dcterms:created>
  <dcterms:modified xsi:type="dcterms:W3CDTF">2020-12-08T13:56:00Z</dcterms:modified>
</cp:coreProperties>
</file>